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2FB09" w14:textId="187B05E9" w:rsidR="001F15FF" w:rsidRPr="00FC55D5" w:rsidRDefault="00FA46EC" w:rsidP="003665B7">
      <w:pPr>
        <w:pStyle w:val="NoSpacing"/>
        <w:jc w:val="center"/>
        <w:rPr>
          <w:b/>
          <w:sz w:val="36"/>
          <w:u w:val="single"/>
        </w:rPr>
      </w:pPr>
      <w:r w:rsidRPr="00FC55D5">
        <w:rPr>
          <w:b/>
          <w:sz w:val="36"/>
          <w:u w:val="single"/>
        </w:rPr>
        <w:t>Non-E</w:t>
      </w:r>
      <w:r w:rsidR="001F15FF" w:rsidRPr="00FC55D5">
        <w:rPr>
          <w:b/>
          <w:sz w:val="36"/>
          <w:u w:val="single"/>
        </w:rPr>
        <w:t>quilibrium Thermodynamics</w:t>
      </w:r>
    </w:p>
    <w:p w14:paraId="0E28456E" w14:textId="77777777" w:rsidR="00E11F38" w:rsidRDefault="00E11F38" w:rsidP="000D0622">
      <w:pPr>
        <w:pStyle w:val="NoSpacing"/>
      </w:pPr>
    </w:p>
    <w:p w14:paraId="0DECE144" w14:textId="66B85107" w:rsidR="000D0622" w:rsidRDefault="000D0622" w:rsidP="000D0622">
      <w:pPr>
        <w:pStyle w:val="NoSpacing"/>
      </w:pPr>
    </w:p>
    <w:p w14:paraId="238F68A3" w14:textId="3AD52102" w:rsidR="009C697D" w:rsidRDefault="009C697D" w:rsidP="00FF4B34">
      <w:pPr>
        <w:pStyle w:val="NoSpacing"/>
      </w:pPr>
      <w:r>
        <w:t>Now want to examine some combined processes…</w:t>
      </w:r>
      <w:r w:rsidR="0008114E">
        <w:t>as well as more miscellaneous ones.</w:t>
      </w:r>
    </w:p>
    <w:p w14:paraId="61343866" w14:textId="77777777" w:rsidR="009C697D" w:rsidRDefault="009C697D" w:rsidP="00FF4B34">
      <w:pPr>
        <w:pStyle w:val="NoSpacing"/>
      </w:pPr>
    </w:p>
    <w:p w14:paraId="029EAB4E" w14:textId="18D89694" w:rsidR="000816D3" w:rsidRPr="0055612D" w:rsidRDefault="00E83E82" w:rsidP="000816D3">
      <w:pPr>
        <w:pStyle w:val="NoSpacing"/>
        <w:rPr>
          <w:b/>
          <w:sz w:val="28"/>
          <w:szCs w:val="24"/>
        </w:rPr>
      </w:pPr>
      <w:r w:rsidRPr="0055612D">
        <w:rPr>
          <w:b/>
          <w:sz w:val="28"/>
          <w:szCs w:val="24"/>
        </w:rPr>
        <w:t xml:space="preserve">Heat Conduction and </w:t>
      </w:r>
      <w:r w:rsidR="000816D3" w:rsidRPr="0055612D">
        <w:rPr>
          <w:b/>
          <w:sz w:val="28"/>
          <w:szCs w:val="24"/>
        </w:rPr>
        <w:t xml:space="preserve">Diffusion </w:t>
      </w:r>
    </w:p>
    <w:p w14:paraId="1C1E8476" w14:textId="0314B395" w:rsidR="000816D3" w:rsidRPr="00806BE6" w:rsidRDefault="00F42A9F" w:rsidP="000816D3">
      <w:pPr>
        <w:pStyle w:val="NoSpacing"/>
      </w:pPr>
      <w:r>
        <w:t>Now suppose we have two containers at initial temperatures, chemical potentials: T</w:t>
      </w:r>
      <w:r w:rsidR="002F295E">
        <w:rPr>
          <w:vertAlign w:val="subscript"/>
        </w:rPr>
        <w:t>1</w:t>
      </w:r>
      <w:r>
        <w:t xml:space="preserve">, </w:t>
      </w:r>
      <w:r>
        <w:rPr>
          <w:rFonts w:ascii="Calibri" w:hAnsi="Calibri" w:cs="Calibri"/>
        </w:rPr>
        <w:t>μ</w:t>
      </w:r>
      <w:r w:rsidR="002F295E">
        <w:rPr>
          <w:vertAlign w:val="subscript"/>
        </w:rPr>
        <w:t>1</w:t>
      </w:r>
      <w:r>
        <w:t xml:space="preserve"> and T</w:t>
      </w:r>
      <w:r w:rsidR="002F295E">
        <w:rPr>
          <w:vertAlign w:val="subscript"/>
        </w:rPr>
        <w:t>2</w:t>
      </w:r>
      <w:r>
        <w:t xml:space="preserve">, </w:t>
      </w:r>
      <w:r>
        <w:rPr>
          <w:rFonts w:ascii="Calibri" w:hAnsi="Calibri" w:cs="Calibri"/>
        </w:rPr>
        <w:t>μ</w:t>
      </w:r>
      <w:r w:rsidR="002F295E">
        <w:rPr>
          <w:vertAlign w:val="subscript"/>
        </w:rPr>
        <w:t>2</w:t>
      </w:r>
      <w:r>
        <w:t xml:space="preserve">.  And </w:t>
      </w:r>
      <w:r w:rsidR="000816D3">
        <w:t xml:space="preserve"> we </w:t>
      </w:r>
      <w:r>
        <w:t xml:space="preserve">suppose conduction to occur and diffusion as well.  How </w:t>
      </w:r>
      <w:r w:rsidR="00E81F93">
        <w:t xml:space="preserve">will </w:t>
      </w:r>
      <w:r w:rsidR="00ED7860">
        <w:t>these</w:t>
      </w:r>
      <w:r w:rsidR="00E81F93">
        <w:t xml:space="preserve"> occur?</w:t>
      </w:r>
      <w:r w:rsidR="00CC1D70">
        <w:t xml:space="preserve">  As before we’ll presume </w:t>
      </w:r>
      <w:r w:rsidR="00CC1D70" w:rsidRPr="00CC1D70">
        <w:rPr>
          <w:b/>
        </w:rPr>
        <w:t>P</w:t>
      </w:r>
      <w:r w:rsidR="00CC1D70">
        <w:t xml:space="preserve"> = 0</w:t>
      </w:r>
      <w:r w:rsidR="00806BE6">
        <w:t xml:space="preserve">, as it is only the chemical potential and thermal gradients that evolve a </w:t>
      </w:r>
      <w:r w:rsidR="00806BE6" w:rsidRPr="00806BE6">
        <w:rPr>
          <w:b/>
        </w:rPr>
        <w:t>P</w:t>
      </w:r>
      <w:r w:rsidR="00806BE6">
        <w:t xml:space="preserve">, and so the equilibrium distributions that characterize the separate compartments shouldn’t have it.  </w:t>
      </w:r>
    </w:p>
    <w:p w14:paraId="59CC7464" w14:textId="529AC6AA" w:rsidR="000816D3" w:rsidRDefault="000816D3" w:rsidP="000816D3">
      <w:pPr>
        <w:pStyle w:val="NoSpacing"/>
      </w:pPr>
    </w:p>
    <w:p w14:paraId="139A02C9" w14:textId="61A38114" w:rsidR="000816D3" w:rsidRDefault="002F295E" w:rsidP="000816D3">
      <w:pPr>
        <w:pStyle w:val="NoSpacing"/>
      </w:pPr>
      <w:r>
        <w:object w:dxaOrig="4259" w:dyaOrig="3600" w14:anchorId="0601C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78pt" o:ole="">
            <v:imagedata r:id="rId4" o:title="" croptop="12015f" cropbottom="25559f" cropleft="9369f" cropright="20077f"/>
          </v:shape>
          <o:OLEObject Type="Embed" ProgID="PBrush" ShapeID="_x0000_i1025" DrawAspect="Content" ObjectID="_1799843136" r:id="rId5"/>
        </w:object>
      </w:r>
    </w:p>
    <w:p w14:paraId="1669A66C" w14:textId="77777777" w:rsidR="000816D3" w:rsidRDefault="000816D3" w:rsidP="000816D3">
      <w:pPr>
        <w:pStyle w:val="NoSpacing"/>
      </w:pPr>
    </w:p>
    <w:p w14:paraId="6E22490F" w14:textId="2D3703F7" w:rsidR="000816D3" w:rsidRDefault="000816D3" w:rsidP="000816D3">
      <w:pPr>
        <w:pStyle w:val="NoSpacing"/>
      </w:pPr>
      <w:r>
        <w:t>The balance</w:t>
      </w:r>
      <w:r w:rsidR="00D02765">
        <w:t>s</w:t>
      </w:r>
      <w:r>
        <w:t>…</w:t>
      </w:r>
    </w:p>
    <w:p w14:paraId="3459BDC2" w14:textId="77777777" w:rsidR="000816D3" w:rsidRDefault="000816D3" w:rsidP="000816D3">
      <w:pPr>
        <w:pStyle w:val="NoSpacing"/>
      </w:pPr>
    </w:p>
    <w:p w14:paraId="71D1984F" w14:textId="0FB73E80" w:rsidR="000816D3" w:rsidRDefault="005E783E" w:rsidP="000816D3">
      <w:pPr>
        <w:pStyle w:val="NoSpacing"/>
      </w:pPr>
      <w:r w:rsidRPr="00E83E82">
        <w:rPr>
          <w:position w:val="-58"/>
        </w:rPr>
        <w:object w:dxaOrig="1080" w:dyaOrig="1280" w14:anchorId="0E5E77B5">
          <v:shape id="_x0000_i1026" type="#_x0000_t75" style="width:54pt;height:66pt" o:ole="">
            <v:imagedata r:id="rId6" o:title=""/>
          </v:shape>
          <o:OLEObject Type="Embed" ProgID="Equation.DSMT4" ShapeID="_x0000_i1026" DrawAspect="Content" ObjectID="_1799843137" r:id="rId7"/>
        </w:object>
      </w:r>
      <w:r w:rsidR="000816D3">
        <w:tab/>
      </w:r>
      <w:r w:rsidR="000816D3">
        <w:tab/>
      </w:r>
      <w:r w:rsidR="000816D3">
        <w:tab/>
      </w:r>
      <w:r w:rsidRPr="00E83E82">
        <w:rPr>
          <w:position w:val="-58"/>
        </w:rPr>
        <w:object w:dxaOrig="980" w:dyaOrig="1280" w14:anchorId="592304DD">
          <v:shape id="_x0000_i1027" type="#_x0000_t75" style="width:48pt;height:66pt" o:ole="">
            <v:imagedata r:id="rId8" o:title=""/>
          </v:shape>
          <o:OLEObject Type="Embed" ProgID="Equation.DSMT4" ShapeID="_x0000_i1027" DrawAspect="Content" ObjectID="_1799843138" r:id="rId9"/>
        </w:object>
      </w:r>
      <w:r w:rsidR="000816D3">
        <w:t xml:space="preserve"> </w:t>
      </w:r>
    </w:p>
    <w:p w14:paraId="10CD10EE" w14:textId="77777777" w:rsidR="000816D3" w:rsidRDefault="000816D3" w:rsidP="000816D3">
      <w:pPr>
        <w:pStyle w:val="NoSpacing"/>
      </w:pPr>
    </w:p>
    <w:p w14:paraId="260F2240" w14:textId="2F9514EB" w:rsidR="000816D3" w:rsidRDefault="00806BE6" w:rsidP="000816D3">
      <w:pPr>
        <w:pStyle w:val="NoSpacing"/>
      </w:pPr>
      <w:r>
        <w:t>where</w:t>
      </w:r>
      <w:r w:rsidR="00D8717F">
        <w:t xml:space="preserve"> (see Laws of Thermodynamics file)</w:t>
      </w:r>
      <w:r w:rsidR="00D02765">
        <w:t xml:space="preserve"> I</w:t>
      </w:r>
      <w:r w:rsidR="00D02765">
        <w:rPr>
          <w:vertAlign w:val="subscript"/>
        </w:rPr>
        <w:t>U</w:t>
      </w:r>
      <w:r w:rsidR="00D02765">
        <w:t xml:space="preserve"> = (</w:t>
      </w:r>
      <w:r w:rsidR="00D02765" w:rsidRPr="00E17499">
        <w:rPr>
          <w:u w:val="single"/>
        </w:rPr>
        <w:t>U</w:t>
      </w:r>
      <w:r w:rsidR="00D02765">
        <w:rPr>
          <w:vertAlign w:val="subscript"/>
        </w:rPr>
        <w:t>1</w:t>
      </w:r>
      <w:r w:rsidR="00D02765">
        <w:t xml:space="preserve"> + </w:t>
      </w:r>
      <w:r w:rsidR="00D02765">
        <w:rPr>
          <w:rFonts w:ascii="Calibri" w:hAnsi="Calibri" w:cs="Calibri"/>
        </w:rPr>
        <w:t>p</w:t>
      </w:r>
      <w:r w:rsidR="00D02765">
        <w:rPr>
          <w:vertAlign w:val="subscript"/>
        </w:rPr>
        <w:t>1</w:t>
      </w:r>
      <w:r w:rsidR="00D02765" w:rsidRPr="00E17499">
        <w:rPr>
          <w:u w:val="single"/>
        </w:rPr>
        <w:t>V</w:t>
      </w:r>
      <w:r w:rsidR="00D02765">
        <w:rPr>
          <w:vertAlign w:val="subscript"/>
        </w:rPr>
        <w:t>1</w:t>
      </w:r>
      <w:r w:rsidR="00D02765">
        <w:t>)I</w:t>
      </w:r>
      <w:r w:rsidR="00D02765">
        <w:rPr>
          <w:vertAlign w:val="subscript"/>
        </w:rPr>
        <w:t>1</w:t>
      </w:r>
      <w:r w:rsidR="005E783E">
        <w:t xml:space="preserve"> + </w:t>
      </w:r>
      <m:oMath>
        <m:acc>
          <m:accPr>
            <m:chr m:val="̇"/>
            <m:ctrlPr>
              <w:rPr>
                <w:rFonts w:ascii="Cambria Math" w:hAnsi="Cambria Math"/>
                <w:i/>
              </w:rPr>
            </m:ctrlPr>
          </m:accPr>
          <m:e>
            <m:r>
              <w:rPr>
                <w:rFonts w:ascii="Cambria Math" w:hAnsi="Cambria Math"/>
              </w:rPr>
              <m:t>Q</m:t>
            </m:r>
          </m:e>
        </m:acc>
      </m:oMath>
      <w:r w:rsidR="005E783E">
        <w:rPr>
          <w:vertAlign w:val="subscript"/>
        </w:rPr>
        <w:t>1</w:t>
      </w:r>
      <w:r w:rsidR="00D02765">
        <w:t xml:space="preserve"> – (</w:t>
      </w:r>
      <w:r w:rsidR="00D02765" w:rsidRPr="00DD28DC">
        <w:rPr>
          <w:u w:val="single"/>
        </w:rPr>
        <w:t>U</w:t>
      </w:r>
      <w:r w:rsidR="00D02765">
        <w:rPr>
          <w:vertAlign w:val="subscript"/>
        </w:rPr>
        <w:t>2</w:t>
      </w:r>
      <w:r w:rsidR="00D02765">
        <w:t xml:space="preserve"> + </w:t>
      </w:r>
      <w:r w:rsidR="00D02765" w:rsidRPr="00DD28DC">
        <w:t>p</w:t>
      </w:r>
      <w:r w:rsidR="00D02765" w:rsidRPr="00DD28DC">
        <w:rPr>
          <w:vertAlign w:val="subscript"/>
        </w:rPr>
        <w:t>2</w:t>
      </w:r>
      <w:r w:rsidR="00D02765" w:rsidRPr="00DD28DC">
        <w:rPr>
          <w:u w:val="single"/>
        </w:rPr>
        <w:t>V</w:t>
      </w:r>
      <w:r w:rsidR="00D02765">
        <w:rPr>
          <w:vertAlign w:val="subscript"/>
        </w:rPr>
        <w:t>2</w:t>
      </w:r>
      <w:r w:rsidR="00D02765">
        <w:t>)</w:t>
      </w:r>
      <w:r w:rsidR="00D02765" w:rsidRPr="00DD28DC">
        <w:t>I</w:t>
      </w:r>
      <w:r w:rsidR="00D02765">
        <w:rPr>
          <w:vertAlign w:val="subscript"/>
        </w:rPr>
        <w:t>2</w:t>
      </w:r>
      <w:r w:rsidR="005E783E">
        <w:t xml:space="preserve"> – </w:t>
      </w:r>
      <m:oMath>
        <m:acc>
          <m:accPr>
            <m:chr m:val="̇"/>
            <m:ctrlPr>
              <w:rPr>
                <w:rFonts w:ascii="Cambria Math" w:hAnsi="Cambria Math"/>
                <w:i/>
              </w:rPr>
            </m:ctrlPr>
          </m:accPr>
          <m:e>
            <m:r>
              <w:rPr>
                <w:rFonts w:ascii="Cambria Math" w:hAnsi="Cambria Math"/>
              </w:rPr>
              <m:t>Q</m:t>
            </m:r>
          </m:e>
        </m:acc>
      </m:oMath>
      <w:r w:rsidR="005E783E">
        <w:rPr>
          <w:vertAlign w:val="subscript"/>
        </w:rPr>
        <w:t>2</w:t>
      </w:r>
      <w:r w:rsidR="005E783E">
        <w:t xml:space="preserve"> perhaps</w:t>
      </w:r>
      <w:r w:rsidR="00D02765">
        <w:t>, and I = I</w:t>
      </w:r>
      <w:r w:rsidR="00D02765">
        <w:rPr>
          <w:vertAlign w:val="subscript"/>
        </w:rPr>
        <w:t>1</w:t>
      </w:r>
      <w:r w:rsidR="00D02765">
        <w:t xml:space="preserve"> – I</w:t>
      </w:r>
      <w:r w:rsidR="00D02765">
        <w:rPr>
          <w:vertAlign w:val="subscript"/>
        </w:rPr>
        <w:t>2</w:t>
      </w:r>
      <w:r w:rsidR="00D02765">
        <w:t xml:space="preserve">.  </w:t>
      </w:r>
      <w:r w:rsidR="00B843CD">
        <w:t>A</w:t>
      </w:r>
      <w:r w:rsidR="00B90256">
        <w:t xml:space="preserve">gain, the </w:t>
      </w:r>
      <m:oMath>
        <m:acc>
          <m:accPr>
            <m:chr m:val="̇"/>
            <m:ctrlPr>
              <w:rPr>
                <w:rFonts w:ascii="Cambria Math" w:hAnsi="Cambria Math"/>
                <w:i/>
              </w:rPr>
            </m:ctrlPr>
          </m:accPr>
          <m:e>
            <m:r>
              <w:rPr>
                <w:rFonts w:ascii="Cambria Math" w:hAnsi="Cambria Math"/>
              </w:rPr>
              <m:t>Q</m:t>
            </m:r>
          </m:e>
        </m:acc>
      </m:oMath>
      <w:r w:rsidR="005E783E">
        <w:rPr>
          <w:vertAlign w:val="subscript"/>
        </w:rPr>
        <w:t>1</w:t>
      </w:r>
      <w:r w:rsidR="005E783E">
        <w:t xml:space="preserve"> and </w:t>
      </w:r>
      <m:oMath>
        <m:acc>
          <m:accPr>
            <m:chr m:val="̇"/>
            <m:ctrlPr>
              <w:rPr>
                <w:rFonts w:ascii="Cambria Math" w:hAnsi="Cambria Math"/>
                <w:i/>
              </w:rPr>
            </m:ctrlPr>
          </m:accPr>
          <m:e>
            <m:r>
              <w:rPr>
                <w:rFonts w:ascii="Cambria Math" w:hAnsi="Cambria Math"/>
              </w:rPr>
              <m:t>Q</m:t>
            </m:r>
          </m:e>
        </m:acc>
      </m:oMath>
      <w:r w:rsidR="005E783E">
        <w:rPr>
          <w:vertAlign w:val="subscript"/>
        </w:rPr>
        <w:t>2</w:t>
      </w:r>
      <w:r w:rsidR="005E783E">
        <w:t xml:space="preserve"> </w:t>
      </w:r>
      <w:r w:rsidR="00B90256">
        <w:t>terms are heat as defined via zero I</w:t>
      </w:r>
      <w:r w:rsidR="00B90256">
        <w:rPr>
          <w:vertAlign w:val="subscript"/>
        </w:rPr>
        <w:t>1</w:t>
      </w:r>
      <w:r w:rsidR="00B90256">
        <w:t xml:space="preserve"> </w:t>
      </w:r>
      <w:r w:rsidR="002A4024">
        <w:t>and zero</w:t>
      </w:r>
      <w:r w:rsidR="00B90256">
        <w:t xml:space="preserve"> I</w:t>
      </w:r>
      <w:r w:rsidR="00B90256">
        <w:rPr>
          <w:vertAlign w:val="subscript"/>
        </w:rPr>
        <w:t>2</w:t>
      </w:r>
      <w:r w:rsidR="002A4024">
        <w:t xml:space="preserve"> respectively</w:t>
      </w:r>
      <w:r w:rsidR="00B90256">
        <w:t>.  But in conjunction, heat</w:t>
      </w:r>
      <w:r w:rsidR="00B843CD">
        <w:t xml:space="preserve">, </w:t>
      </w:r>
      <m:oMath>
        <m:acc>
          <m:accPr>
            <m:chr m:val="̇"/>
            <m:ctrlPr>
              <w:rPr>
                <w:rFonts w:ascii="Cambria Math" w:hAnsi="Cambria Math"/>
                <w:i/>
              </w:rPr>
            </m:ctrlPr>
          </m:accPr>
          <m:e>
            <m:r>
              <w:rPr>
                <w:rFonts w:ascii="Cambria Math" w:hAnsi="Cambria Math"/>
              </w:rPr>
              <m:t>Q</m:t>
            </m:r>
          </m:e>
        </m:acc>
      </m:oMath>
      <w:r w:rsidR="00B843CD">
        <w:t>,</w:t>
      </w:r>
      <w:r w:rsidR="00B90256">
        <w:t xml:space="preserve"> is defined as energy transfer at zero </w:t>
      </w:r>
      <w:r w:rsidR="00B90256" w:rsidRPr="002A4024">
        <w:rPr>
          <w:i/>
        </w:rPr>
        <w:t>net</w:t>
      </w:r>
      <w:r w:rsidR="00B90256">
        <w:t xml:space="preserve"> current.  So as in the previous file, need to write</w:t>
      </w:r>
      <w:r w:rsidR="002A4024">
        <w:t xml:space="preserve"> (well don’t </w:t>
      </w:r>
      <w:r w:rsidR="002A4024" w:rsidRPr="002A4024">
        <w:rPr>
          <w:i/>
        </w:rPr>
        <w:t>need</w:t>
      </w:r>
      <w:r w:rsidR="002A4024">
        <w:t xml:space="preserve"> to, but)</w:t>
      </w:r>
      <w:r w:rsidR="00B90256">
        <w:t xml:space="preserve">: </w:t>
      </w:r>
    </w:p>
    <w:p w14:paraId="57AD37ED" w14:textId="2B477017" w:rsidR="00080C28" w:rsidRDefault="00080C28" w:rsidP="000816D3">
      <w:pPr>
        <w:pStyle w:val="NoSpacing"/>
      </w:pPr>
    </w:p>
    <w:p w14:paraId="6EA3F8E5" w14:textId="4D39C39D" w:rsidR="00080C28" w:rsidRDefault="00D8717F" w:rsidP="000816D3">
      <w:pPr>
        <w:pStyle w:val="NoSpacing"/>
      </w:pPr>
      <w:r w:rsidRPr="00713EA2">
        <w:rPr>
          <w:position w:val="-98"/>
        </w:rPr>
        <w:object w:dxaOrig="7920" w:dyaOrig="2079" w14:anchorId="58F4A83B">
          <v:shape id="_x0000_i1028" type="#_x0000_t75" style="width:396pt;height:104pt" o:ole="">
            <v:imagedata r:id="rId10" o:title=""/>
          </v:shape>
          <o:OLEObject Type="Embed" ProgID="Equation.DSMT4" ShapeID="_x0000_i1028" DrawAspect="Content" ObjectID="_1799843139" r:id="rId11"/>
        </w:object>
      </w:r>
    </w:p>
    <w:p w14:paraId="2DA1B609" w14:textId="4A3C865E" w:rsidR="000816D3" w:rsidRDefault="000816D3" w:rsidP="000816D3">
      <w:pPr>
        <w:pStyle w:val="NoSpacing"/>
      </w:pPr>
    </w:p>
    <w:p w14:paraId="0EFBAB41" w14:textId="5E80A2F0" w:rsidR="00B579EA" w:rsidRPr="005518B8" w:rsidRDefault="00D8717F" w:rsidP="000816D3">
      <w:pPr>
        <w:pStyle w:val="NoSpacing"/>
      </w:pPr>
      <w:r>
        <w:t xml:space="preserve">where H is enthalpy of course.  </w:t>
      </w:r>
      <w:r w:rsidR="00B579EA">
        <w:t>And then filling into the balance equations…</w:t>
      </w:r>
    </w:p>
    <w:p w14:paraId="2FD1475F" w14:textId="6FE6E920" w:rsidR="000816D3" w:rsidRPr="00A47C82" w:rsidRDefault="00D8717F" w:rsidP="000816D3">
      <w:pPr>
        <w:pStyle w:val="NoSpacing"/>
      </w:pPr>
      <w:r w:rsidRPr="00BE2C7A">
        <w:rPr>
          <w:position w:val="-180"/>
        </w:rPr>
        <w:object w:dxaOrig="5420" w:dyaOrig="3480" w14:anchorId="2F7E6F46">
          <v:shape id="_x0000_i1029" type="#_x0000_t75" style="width:272pt;height:174pt" o:ole="">
            <v:imagedata r:id="rId12" o:title=""/>
          </v:shape>
          <o:OLEObject Type="Embed" ProgID="Equation.DSMT4" ShapeID="_x0000_i1029" DrawAspect="Content" ObjectID="_1799843140" r:id="rId13"/>
        </w:object>
      </w:r>
      <w:r w:rsidR="000816D3">
        <w:t xml:space="preserve"> </w:t>
      </w:r>
    </w:p>
    <w:p w14:paraId="0AABC1A9" w14:textId="77777777" w:rsidR="000816D3" w:rsidRDefault="000816D3" w:rsidP="000816D3">
      <w:pPr>
        <w:pStyle w:val="NoSpacing"/>
      </w:pPr>
    </w:p>
    <w:p w14:paraId="7A312212" w14:textId="56D51D98" w:rsidR="000816D3" w:rsidRPr="000371DD" w:rsidRDefault="000816D3" w:rsidP="000816D3">
      <w:pPr>
        <w:pStyle w:val="NoSpacing"/>
      </w:pPr>
      <w:r>
        <w:t>In order to separate out the effects, though, we will write: T</w:t>
      </w:r>
      <w:r w:rsidR="00BA7997">
        <w:rPr>
          <w:vertAlign w:val="subscript"/>
        </w:rPr>
        <w:t>2</w:t>
      </w:r>
      <w:r>
        <w:t xml:space="preserve"> = T</w:t>
      </w:r>
      <w:r w:rsidR="00BA7997">
        <w:rPr>
          <w:vertAlign w:val="subscript"/>
        </w:rPr>
        <w:t>1</w:t>
      </w:r>
      <w:r>
        <w:t xml:space="preserve">  + </w:t>
      </w:r>
      <w:r>
        <w:rPr>
          <w:rFonts w:ascii="Calibri" w:hAnsi="Calibri"/>
        </w:rPr>
        <w:t>Δ</w:t>
      </w:r>
      <w:r>
        <w:t xml:space="preserve">T, and </w:t>
      </w:r>
      <w:r>
        <w:rPr>
          <w:rFonts w:ascii="Calibri" w:hAnsi="Calibri"/>
        </w:rPr>
        <w:t>μ</w:t>
      </w:r>
      <w:r w:rsidR="00BA7997">
        <w:rPr>
          <w:vertAlign w:val="subscript"/>
        </w:rPr>
        <w:t>2</w:t>
      </w:r>
      <w:r>
        <w:t xml:space="preserve"> = </w:t>
      </w:r>
      <w:r>
        <w:rPr>
          <w:rFonts w:ascii="Calibri" w:hAnsi="Calibri"/>
        </w:rPr>
        <w:t>μ</w:t>
      </w:r>
      <w:r w:rsidR="00BA7997">
        <w:rPr>
          <w:vertAlign w:val="subscript"/>
        </w:rPr>
        <w:t>1</w:t>
      </w:r>
      <w:r>
        <w:t xml:space="preserve"> + </w:t>
      </w:r>
      <w:r>
        <w:rPr>
          <w:rFonts w:ascii="Calibri" w:hAnsi="Calibri"/>
        </w:rPr>
        <w:t>Δμ</w:t>
      </w:r>
      <w:r>
        <w:t xml:space="preserve"> and do a Taylor series expansion</w:t>
      </w:r>
      <w:r w:rsidR="002F295E">
        <w:t>:</w:t>
      </w:r>
      <w:r w:rsidR="00BA7997">
        <w:t xml:space="preserve">  </w:t>
      </w:r>
    </w:p>
    <w:p w14:paraId="49F4F6CA" w14:textId="77777777" w:rsidR="000816D3" w:rsidRDefault="000816D3" w:rsidP="000816D3">
      <w:pPr>
        <w:pStyle w:val="NoSpacing"/>
      </w:pPr>
    </w:p>
    <w:p w14:paraId="55AC6CBD" w14:textId="5A583591" w:rsidR="000816D3" w:rsidRDefault="009310D5" w:rsidP="000816D3">
      <w:pPr>
        <w:pStyle w:val="NoSpacing"/>
      </w:pPr>
      <w:r w:rsidRPr="00D02765">
        <w:rPr>
          <w:position w:val="-148"/>
        </w:rPr>
        <w:object w:dxaOrig="5080" w:dyaOrig="3080" w14:anchorId="207F93DE">
          <v:shape id="_x0000_i1030" type="#_x0000_t75" style="width:256pt;height:156pt" o:ole="">
            <v:imagedata r:id="rId14" o:title=""/>
          </v:shape>
          <o:OLEObject Type="Embed" ProgID="Equation.DSMT4" ShapeID="_x0000_i1030" DrawAspect="Content" ObjectID="_1799843141" r:id="rId15"/>
        </w:object>
      </w:r>
    </w:p>
    <w:p w14:paraId="050BE555" w14:textId="34699657" w:rsidR="00624D87" w:rsidRDefault="00624D87" w:rsidP="000816D3">
      <w:pPr>
        <w:pStyle w:val="NoSpacing"/>
      </w:pPr>
    </w:p>
    <w:p w14:paraId="51B964BE" w14:textId="7051DB0D" w:rsidR="00624D87" w:rsidRDefault="00DC2801" w:rsidP="000816D3">
      <w:pPr>
        <w:pStyle w:val="NoSpacing"/>
      </w:pPr>
      <w:r>
        <w:t xml:space="preserve">Might note that </w:t>
      </w:r>
      <w:r w:rsidRPr="00DC2801">
        <w:rPr>
          <w:u w:val="single"/>
        </w:rPr>
        <w:t>H</w:t>
      </w:r>
      <w:r>
        <w:rPr>
          <w:vertAlign w:val="subscript"/>
        </w:rPr>
        <w:t>ave</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w:t>
      </w:r>
      <w:r>
        <w:rPr>
          <w:rFonts w:ascii="Cambria Math" w:hAnsi="Cambria Math" w:cs="Calibri"/>
        </w:rPr>
        <w:t>≈</w:t>
      </w:r>
      <w:r>
        <w:rPr>
          <w:rFonts w:ascii="Calibri" w:hAnsi="Calibri" w:cs="Calibri"/>
        </w:rPr>
        <w:t xml:space="preserve"> </w:t>
      </w:r>
      <w:r w:rsidRPr="00DC2801">
        <w:rPr>
          <w:rFonts w:ascii="Calibri" w:hAnsi="Calibri" w:cs="Calibri"/>
          <w:u w:val="single"/>
        </w:rPr>
        <w:t>H</w:t>
      </w:r>
      <w:r>
        <w:rPr>
          <w:rFonts w:ascii="Calibri" w:hAnsi="Calibri" w:cs="Calibri"/>
          <w:vertAlign w:val="subscript"/>
        </w:rPr>
        <w:t>1</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 T</w:t>
      </w:r>
      <w:r w:rsidRPr="00DC2801">
        <w:rPr>
          <w:rFonts w:ascii="Calibri" w:hAnsi="Calibri" w:cs="Calibri"/>
          <w:u w:val="single"/>
        </w:rPr>
        <w:t>S</w:t>
      </w:r>
      <w:r>
        <w:rPr>
          <w:rFonts w:ascii="Calibri" w:hAnsi="Calibri" w:cs="Calibri"/>
          <w:vertAlign w:val="subscript"/>
        </w:rPr>
        <w:t>1</w:t>
      </w:r>
      <w:r>
        <w:rPr>
          <w:rFonts w:ascii="Calibri" w:hAnsi="Calibri" w:cs="Calibri"/>
        </w:rPr>
        <w:t xml:space="preserve"> (see Thermodynamic Potentials).  And the </w:t>
      </w:r>
      <w:r>
        <w:rPr>
          <w:rFonts w:ascii="Cambria Math" w:hAnsi="Cambria Math" w:cs="Calibri"/>
        </w:rPr>
        <w:t>≈</w:t>
      </w:r>
      <w:r w:rsidR="006E52CC">
        <w:rPr>
          <w:rFonts w:ascii="Cambria Math" w:hAnsi="Cambria Math" w:cs="Calibri"/>
        </w:rPr>
        <w:t xml:space="preserve"> </w:t>
      </w:r>
      <w:r w:rsidR="006E52CC" w:rsidRPr="0032634E">
        <w:rPr>
          <w:rFonts w:cstheme="minorHAnsi"/>
        </w:rPr>
        <w:t>kind</w:t>
      </w:r>
      <w:r w:rsidR="006E52CC">
        <w:rPr>
          <w:rFonts w:ascii="Cambria Math" w:hAnsi="Cambria Math" w:cs="Calibri"/>
        </w:rPr>
        <w:t xml:space="preserve"> of</w:t>
      </w:r>
      <w:r>
        <w:rPr>
          <w:rFonts w:ascii="Calibri" w:hAnsi="Calibri" w:cs="Calibri"/>
        </w:rPr>
        <w:t xml:space="preserve"> follows because the two systems have to be close to each other, from our linear non-equilibrium Thermodynamics formalism to apply.  </w:t>
      </w:r>
      <w:r>
        <w:t xml:space="preserve">Well if so, then we can write </w:t>
      </w:r>
      <w:r w:rsidRPr="00DC2801">
        <w:rPr>
          <w:rFonts w:ascii="Calibri" w:hAnsi="Calibri" w:cs="Calibri"/>
          <w:u w:val="single"/>
        </w:rPr>
        <w:t>H</w:t>
      </w:r>
      <w:r>
        <w:rPr>
          <w:rFonts w:ascii="Calibri" w:hAnsi="Calibri" w:cs="Calibri"/>
          <w:vertAlign w:val="subscript"/>
        </w:rPr>
        <w:t>1</w:t>
      </w:r>
      <w:r>
        <w:t xml:space="preserve"> – </w:t>
      </w:r>
      <w:r>
        <w:rPr>
          <w:rFonts w:ascii="Calibri" w:hAnsi="Calibri" w:cs="Calibri"/>
        </w:rPr>
        <w:t>μ</w:t>
      </w:r>
      <w:r>
        <w:rPr>
          <w:rFonts w:ascii="Calibri" w:hAnsi="Calibri" w:cs="Calibri"/>
          <w:vertAlign w:val="subscript"/>
        </w:rPr>
        <w:t>1</w:t>
      </w:r>
      <w:r>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Q</m:t>
            </m:r>
          </m:e>
        </m:acc>
      </m:oMath>
      <w:r>
        <w:rPr>
          <w:rFonts w:ascii="Calibri" w:hAnsi="Calibri" w:cs="Calibri"/>
        </w:rPr>
        <w:t xml:space="preserve"> = T</w:t>
      </w:r>
      <w:r w:rsidRPr="00DC2801">
        <w:rPr>
          <w:rFonts w:ascii="Calibri" w:hAnsi="Calibri" w:cs="Calibri"/>
          <w:u w:val="single"/>
        </w:rPr>
        <w:t>S</w:t>
      </w:r>
      <w:r>
        <w:rPr>
          <w:rFonts w:ascii="Calibri" w:hAnsi="Calibri" w:cs="Calibri"/>
          <w:vertAlign w:val="subscript"/>
        </w:rPr>
        <w:t>1</w:t>
      </w:r>
      <w:r>
        <w:rPr>
          <w:rFonts w:ascii="Calibri" w:hAnsi="Calibri" w:cs="Calibri"/>
        </w:rPr>
        <w:t xml:space="preserve">I + </w:t>
      </w:r>
      <m:oMath>
        <m:acc>
          <m:accPr>
            <m:chr m:val="̇"/>
            <m:ctrlPr>
              <w:rPr>
                <w:rFonts w:ascii="Cambria Math" w:hAnsi="Cambria Math" w:cs="Calibri"/>
                <w:i/>
              </w:rPr>
            </m:ctrlPr>
          </m:accPr>
          <m:e>
            <m:r>
              <w:rPr>
                <w:rFonts w:ascii="Cambria Math" w:hAnsi="Cambria Math" w:cs="Calibri"/>
              </w:rPr>
              <m:t>Q</m:t>
            </m:r>
          </m:e>
        </m:acc>
      </m:oMath>
      <w:r>
        <w:rPr>
          <w:rFonts w:ascii="Calibri" w:eastAsiaTheme="minorEastAsia" w:hAnsi="Calibri" w:cs="Calibri"/>
        </w:rPr>
        <w:t xml:space="preserve">, which is the entropy transport out of region 1 I guess.  This form is what we’ll find in the continuum transport file, where it is on surer footing.  Mentioning it now, just for comparison’s sake.  </w:t>
      </w:r>
      <w:r w:rsidR="00310098">
        <w:rPr>
          <w:rFonts w:ascii="Calibri" w:eastAsiaTheme="minorEastAsia" w:hAnsi="Calibri" w:cs="Calibri"/>
        </w:rPr>
        <w:t>Anyway, s</w:t>
      </w:r>
      <w:r w:rsidR="00624D87">
        <w:t>o to make entropy production positive, we could say,</w:t>
      </w:r>
    </w:p>
    <w:p w14:paraId="258315E6" w14:textId="30EBE7C1" w:rsidR="00624D87" w:rsidRDefault="00624D87" w:rsidP="000816D3">
      <w:pPr>
        <w:pStyle w:val="NoSpacing"/>
      </w:pPr>
    </w:p>
    <w:p w14:paraId="6526B0BA" w14:textId="3D376E89" w:rsidR="00624D87" w:rsidRDefault="00624D87" w:rsidP="000816D3">
      <w:pPr>
        <w:pStyle w:val="NoSpacing"/>
      </w:pPr>
      <w:r w:rsidRPr="00624D87">
        <w:rPr>
          <w:position w:val="-32"/>
        </w:rPr>
        <w:object w:dxaOrig="2580" w:dyaOrig="760" w14:anchorId="4CC62E2D">
          <v:shape id="_x0000_i1031" type="#_x0000_t75" style="width:130pt;height:38pt" o:ole="">
            <v:imagedata r:id="rId16" o:title=""/>
          </v:shape>
          <o:OLEObject Type="Embed" ProgID="Equation.DSMT4" ShapeID="_x0000_i1031" DrawAspect="Content" ObjectID="_1799843142" r:id="rId17"/>
        </w:object>
      </w:r>
    </w:p>
    <w:p w14:paraId="6E02A49B" w14:textId="7671B3FC" w:rsidR="00624D87" w:rsidRDefault="00624D87" w:rsidP="000816D3">
      <w:pPr>
        <w:pStyle w:val="NoSpacing"/>
      </w:pPr>
    </w:p>
    <w:p w14:paraId="797FBA7F" w14:textId="5176965D" w:rsidR="00A77B9F" w:rsidRDefault="00624D87" w:rsidP="000816D3">
      <w:pPr>
        <w:pStyle w:val="NoSpacing"/>
      </w:pPr>
      <w:r>
        <w:t xml:space="preserve">But there is a more general choice.  So our entropy production rate takes </w:t>
      </w:r>
      <w:r w:rsidR="00A77B9F">
        <w:t>the general form,</w:t>
      </w:r>
      <w:r w:rsidR="004044B1">
        <w:t xml:space="preserve"> </w:t>
      </w:r>
    </w:p>
    <w:p w14:paraId="678D1192" w14:textId="29E80687" w:rsidR="00A77B9F" w:rsidRDefault="00A77B9F" w:rsidP="000816D3">
      <w:pPr>
        <w:pStyle w:val="NoSpacing"/>
      </w:pPr>
    </w:p>
    <w:p w14:paraId="454F1F84" w14:textId="46583644" w:rsidR="00A77B9F" w:rsidRDefault="00A77B9F" w:rsidP="000816D3">
      <w:pPr>
        <w:pStyle w:val="NoSpacing"/>
      </w:pPr>
      <w:r w:rsidRPr="00A77B9F">
        <w:rPr>
          <w:position w:val="-12"/>
        </w:rPr>
        <w:object w:dxaOrig="1840" w:dyaOrig="380" w14:anchorId="17EB7C65">
          <v:shape id="_x0000_i1032" type="#_x0000_t75" style="width:92.5pt;height:19.5pt" o:ole="">
            <v:imagedata r:id="rId18" o:title=""/>
          </v:shape>
          <o:OLEObject Type="Embed" ProgID="Equation.DSMT4" ShapeID="_x0000_i1032" DrawAspect="Content" ObjectID="_1799843143" r:id="rId19"/>
        </w:object>
      </w:r>
    </w:p>
    <w:p w14:paraId="2AED16F1" w14:textId="41269942" w:rsidR="00A77B9F" w:rsidRDefault="00A77B9F" w:rsidP="000816D3">
      <w:pPr>
        <w:pStyle w:val="NoSpacing"/>
      </w:pPr>
    </w:p>
    <w:p w14:paraId="00D2488E" w14:textId="6587F9D9" w:rsidR="00A77B9F" w:rsidRDefault="00A77B9F" w:rsidP="000816D3">
      <w:pPr>
        <w:pStyle w:val="NoSpacing"/>
      </w:pPr>
      <w:r>
        <w:t>where,</w:t>
      </w:r>
    </w:p>
    <w:p w14:paraId="2C88F0F8" w14:textId="1C912C98" w:rsidR="00A77B9F" w:rsidRDefault="00A77B9F" w:rsidP="000816D3">
      <w:pPr>
        <w:pStyle w:val="NoSpacing"/>
      </w:pPr>
    </w:p>
    <w:p w14:paraId="0868762C" w14:textId="033B51CA" w:rsidR="00A77B9F" w:rsidRDefault="00A77B9F" w:rsidP="000816D3">
      <w:pPr>
        <w:pStyle w:val="NoSpacing"/>
      </w:pPr>
      <w:r w:rsidRPr="00A77B9F">
        <w:rPr>
          <w:position w:val="-64"/>
        </w:rPr>
        <w:object w:dxaOrig="3780" w:dyaOrig="1400" w14:anchorId="2A8A3D3E">
          <v:shape id="_x0000_i1033" type="#_x0000_t75" style="width:190.5pt;height:71pt" o:ole="">
            <v:imagedata r:id="rId20" o:title=""/>
          </v:shape>
          <o:OLEObject Type="Embed" ProgID="Equation.DSMT4" ShapeID="_x0000_i1033" DrawAspect="Content" ObjectID="_1799843144" r:id="rId21"/>
        </w:object>
      </w:r>
    </w:p>
    <w:p w14:paraId="15BD6244" w14:textId="1D6F80CE" w:rsidR="00A77B9F" w:rsidRDefault="00A77B9F" w:rsidP="000816D3">
      <w:pPr>
        <w:pStyle w:val="NoSpacing"/>
      </w:pPr>
    </w:p>
    <w:p w14:paraId="59AD2EDC" w14:textId="7AE5141F" w:rsidR="00A77B9F" w:rsidRDefault="00624D87" w:rsidP="000816D3">
      <w:pPr>
        <w:pStyle w:val="NoSpacing"/>
      </w:pPr>
      <w:r>
        <w:t>Now instead of saying J</w:t>
      </w:r>
      <w:r>
        <w:rPr>
          <w:vertAlign w:val="subscript"/>
        </w:rPr>
        <w:t>1</w:t>
      </w:r>
      <w:r>
        <w:t xml:space="preserve"> = -L</w:t>
      </w:r>
      <w:r w:rsidR="00BE2247">
        <w:rPr>
          <w:vertAlign w:val="subscript"/>
        </w:rPr>
        <w:t>1</w:t>
      </w:r>
      <w:r>
        <w:t>F</w:t>
      </w:r>
      <w:r>
        <w:rPr>
          <w:vertAlign w:val="subscript"/>
        </w:rPr>
        <w:t>1</w:t>
      </w:r>
      <w:r>
        <w:t xml:space="preserve"> and J</w:t>
      </w:r>
      <w:r>
        <w:rPr>
          <w:vertAlign w:val="subscript"/>
        </w:rPr>
        <w:t>2</w:t>
      </w:r>
      <w:r>
        <w:t xml:space="preserve"> = -L</w:t>
      </w:r>
      <w:r>
        <w:rPr>
          <w:vertAlign w:val="subscript"/>
        </w:rPr>
        <w:t>2</w:t>
      </w:r>
      <w:r>
        <w:t>F</w:t>
      </w:r>
      <w:r>
        <w:rPr>
          <w:vertAlign w:val="subscript"/>
        </w:rPr>
        <w:t>2</w:t>
      </w:r>
      <w:r>
        <w:t>, we could instead allow cross terms whereby F</w:t>
      </w:r>
      <w:r>
        <w:rPr>
          <w:vertAlign w:val="subscript"/>
        </w:rPr>
        <w:t>2</w:t>
      </w:r>
      <w:r>
        <w:t xml:space="preserve"> might have a role in causing J</w:t>
      </w:r>
      <w:r>
        <w:rPr>
          <w:vertAlign w:val="subscript"/>
        </w:rPr>
        <w:t>1</w:t>
      </w:r>
      <w:r>
        <w:t xml:space="preserve"> and likewise F</w:t>
      </w:r>
      <w:r>
        <w:rPr>
          <w:vertAlign w:val="subscript"/>
        </w:rPr>
        <w:t>1</w:t>
      </w:r>
      <w:r>
        <w:t xml:space="preserve"> a role in causing J</w:t>
      </w:r>
      <w:r>
        <w:rPr>
          <w:vertAlign w:val="subscript"/>
        </w:rPr>
        <w:t>2</w:t>
      </w:r>
      <w:r>
        <w:t>.  So we might say,</w:t>
      </w:r>
    </w:p>
    <w:p w14:paraId="1C4E3EF1" w14:textId="00D15C80" w:rsidR="00A77B9F" w:rsidRDefault="00A77B9F" w:rsidP="000816D3">
      <w:pPr>
        <w:pStyle w:val="NoSpacing"/>
      </w:pPr>
    </w:p>
    <w:p w14:paraId="7AD64FC5" w14:textId="41A8422F" w:rsidR="00A77B9F" w:rsidRDefault="00A77B9F" w:rsidP="000816D3">
      <w:pPr>
        <w:pStyle w:val="NoSpacing"/>
      </w:pPr>
      <w:r w:rsidRPr="00A77B9F">
        <w:rPr>
          <w:position w:val="-32"/>
        </w:rPr>
        <w:object w:dxaOrig="2480" w:dyaOrig="760" w14:anchorId="1BD7988E">
          <v:shape id="_x0000_i1034" type="#_x0000_t75" style="width:125pt;height:38pt" o:ole="">
            <v:imagedata r:id="rId22" o:title=""/>
          </v:shape>
          <o:OLEObject Type="Embed" ProgID="Equation.DSMT4" ShapeID="_x0000_i1034" DrawAspect="Content" ObjectID="_1799843145" r:id="rId23"/>
        </w:object>
      </w:r>
    </w:p>
    <w:p w14:paraId="6EFFD206" w14:textId="67291EEC" w:rsidR="00A77B9F" w:rsidRDefault="00A77B9F" w:rsidP="000816D3">
      <w:pPr>
        <w:pStyle w:val="NoSpacing"/>
      </w:pPr>
    </w:p>
    <w:p w14:paraId="2F942F8F" w14:textId="7E521E1C" w:rsidR="00A77B9F" w:rsidRDefault="00A77B9F" w:rsidP="000816D3">
      <w:pPr>
        <w:pStyle w:val="NoSpacing"/>
      </w:pPr>
      <w:r>
        <w:t>But we</w:t>
      </w:r>
      <w:r w:rsidR="00624D87">
        <w:t xml:space="preserve"> still</w:t>
      </w:r>
      <w:r>
        <w:t xml:space="preserve"> must have that the entropy production rate is positive, so this puts restrictions on what the matrix L can be.  The rate of entropy production is:</w:t>
      </w:r>
    </w:p>
    <w:p w14:paraId="63F2DAC5" w14:textId="76BF9A05" w:rsidR="00A77B9F" w:rsidRDefault="00A77B9F" w:rsidP="000816D3">
      <w:pPr>
        <w:pStyle w:val="NoSpacing"/>
      </w:pPr>
    </w:p>
    <w:p w14:paraId="2F84A595" w14:textId="7739944E" w:rsidR="00A77B9F" w:rsidRDefault="00A71AF7" w:rsidP="000816D3">
      <w:pPr>
        <w:pStyle w:val="NoSpacing"/>
      </w:pPr>
      <w:r w:rsidRPr="00A71AF7">
        <w:rPr>
          <w:position w:val="-134"/>
        </w:rPr>
        <w:object w:dxaOrig="3220" w:dyaOrig="2799" w14:anchorId="512CF1BC">
          <v:shape id="_x0000_i1035" type="#_x0000_t75" style="width:162pt;height:142pt" o:ole="">
            <v:imagedata r:id="rId24" o:title=""/>
          </v:shape>
          <o:OLEObject Type="Embed" ProgID="Equation.DSMT4" ShapeID="_x0000_i1035" DrawAspect="Content" ObjectID="_1799843146" r:id="rId25"/>
        </w:object>
      </w:r>
    </w:p>
    <w:p w14:paraId="76FB7728" w14:textId="28173F6E" w:rsidR="00A71AF7" w:rsidRDefault="00A71AF7" w:rsidP="000816D3">
      <w:pPr>
        <w:pStyle w:val="NoSpacing"/>
      </w:pPr>
    </w:p>
    <w:p w14:paraId="1EE92938" w14:textId="7565CC6D" w:rsidR="00A71AF7" w:rsidRPr="00A77B9F" w:rsidRDefault="00A71AF7" w:rsidP="000816D3">
      <w:pPr>
        <w:pStyle w:val="NoSpacing"/>
      </w:pPr>
      <w:r>
        <w:t xml:space="preserve">So in order to guarantee positive entropy production, the matrix </w:t>
      </w:r>
      <w:r w:rsidRPr="00B23644">
        <w:rPr>
          <w:b/>
        </w:rPr>
        <w:t>L</w:t>
      </w:r>
      <w:r>
        <w:t xml:space="preserve"> must be positive definite.  </w:t>
      </w:r>
      <w:r w:rsidR="00B23644">
        <w:t xml:space="preserve">This means it must have positive eigenvalues.  So it’s generally taken that </w:t>
      </w:r>
      <w:r w:rsidR="00B23644" w:rsidRPr="00B23644">
        <w:rPr>
          <w:b/>
        </w:rPr>
        <w:t>L</w:t>
      </w:r>
      <w:r w:rsidR="00B23644">
        <w:t xml:space="preserve"> is at least symmetric, i.e., L</w:t>
      </w:r>
      <w:r w:rsidR="00B23644">
        <w:rPr>
          <w:vertAlign w:val="subscript"/>
        </w:rPr>
        <w:t>21</w:t>
      </w:r>
      <w:r w:rsidR="00B23644">
        <w:t xml:space="preserve"> = L</w:t>
      </w:r>
      <w:r w:rsidR="00B23644">
        <w:rPr>
          <w:vertAlign w:val="subscript"/>
        </w:rPr>
        <w:t>12</w:t>
      </w:r>
      <w:r w:rsidR="00B23644">
        <w:t>, but this doesn’t alone necessitate positive eigenvalues</w:t>
      </w:r>
      <w:r w:rsidR="00310098">
        <w:t>, so…</w:t>
      </w:r>
      <w:r w:rsidR="00B23644">
        <w:t xml:space="preserve">?  Anyway, so we might say,  </w:t>
      </w:r>
    </w:p>
    <w:p w14:paraId="50C6491B" w14:textId="0EAFC5B3" w:rsidR="000816D3" w:rsidRDefault="000816D3" w:rsidP="000816D3">
      <w:pPr>
        <w:pStyle w:val="NoSpacing"/>
      </w:pPr>
    </w:p>
    <w:p w14:paraId="61EF640D" w14:textId="736530FD" w:rsidR="000816D3" w:rsidRDefault="00BE2247" w:rsidP="000816D3">
      <w:pPr>
        <w:pStyle w:val="NoSpacing"/>
      </w:pPr>
      <w:r w:rsidRPr="004044B1">
        <w:rPr>
          <w:position w:val="-64"/>
        </w:rPr>
        <w:object w:dxaOrig="3519" w:dyaOrig="1400" w14:anchorId="46ECCD65">
          <v:shape id="_x0000_i1036" type="#_x0000_t75" style="width:178.5pt;height:70.5pt" o:ole="" filled="t" fillcolor="#cfc">
            <v:imagedata r:id="rId26" o:title=""/>
          </v:shape>
          <o:OLEObject Type="Embed" ProgID="Equation.DSMT4" ShapeID="_x0000_i1036" DrawAspect="Content" ObjectID="_1799843147" r:id="rId27"/>
        </w:object>
      </w:r>
    </w:p>
    <w:p w14:paraId="37DE3F5C" w14:textId="77777777" w:rsidR="000816D3" w:rsidRDefault="000816D3" w:rsidP="000816D3">
      <w:pPr>
        <w:pStyle w:val="NoSpacing"/>
      </w:pPr>
    </w:p>
    <w:p w14:paraId="4EEBB1A1" w14:textId="77777777" w:rsidR="00F66B3B" w:rsidRDefault="008F4976" w:rsidP="000816D3">
      <w:pPr>
        <w:pStyle w:val="NoSpacing"/>
        <w:rPr>
          <w:rFonts w:ascii="Calibri" w:hAnsi="Calibri" w:cs="Calibri"/>
        </w:rPr>
      </w:pPr>
      <w:r>
        <w:t>Note</w:t>
      </w:r>
      <w:r w:rsidR="002A4024">
        <w:t xml:space="preserve"> we can replace </w:t>
      </w:r>
      <w:r w:rsidR="002A4024">
        <w:rPr>
          <w:rFonts w:ascii="Calibri" w:hAnsi="Calibri" w:cs="Calibri"/>
        </w:rPr>
        <w:t>μ</w:t>
      </w:r>
      <w:r w:rsidR="002A4024">
        <w:rPr>
          <w:rFonts w:ascii="Calibri" w:hAnsi="Calibri" w:cs="Calibri"/>
          <w:vertAlign w:val="subscript"/>
        </w:rPr>
        <w:t>1</w:t>
      </w:r>
      <w:r w:rsidR="002A4024">
        <w:rPr>
          <w:rFonts w:ascii="Calibri" w:hAnsi="Calibri" w:cs="Calibri"/>
        </w:rPr>
        <w:t xml:space="preserve"> with μ</w:t>
      </w:r>
      <w:r w:rsidR="002A4024">
        <w:rPr>
          <w:rFonts w:ascii="Calibri" w:hAnsi="Calibri" w:cs="Calibri"/>
          <w:vertAlign w:val="subscript"/>
        </w:rPr>
        <w:t>2</w:t>
      </w:r>
      <w:r w:rsidR="002A4024">
        <w:rPr>
          <w:rFonts w:ascii="Calibri" w:hAnsi="Calibri" w:cs="Calibri"/>
        </w:rPr>
        <w:t xml:space="preserve"> or the average of the two </w:t>
      </w:r>
      <w:r>
        <w:rPr>
          <w:rFonts w:ascii="Calibri" w:hAnsi="Calibri" w:cs="Calibri"/>
        </w:rPr>
        <w:t xml:space="preserve">(just as we can with the temperature) </w:t>
      </w:r>
      <w:r w:rsidR="002A4024">
        <w:rPr>
          <w:rFonts w:ascii="Calibri" w:hAnsi="Calibri" w:cs="Calibri"/>
        </w:rPr>
        <w:t xml:space="preserve">because the error made would be overall second order (since I is first order in intensive parameter difference already), and the equation is only meaningfull up to first order. </w:t>
      </w:r>
      <w:r w:rsidR="002A4024">
        <w:t xml:space="preserve"> </w:t>
      </w:r>
      <w:r w:rsidR="00F66B3B">
        <w:t>I</w:t>
      </w:r>
      <w:r w:rsidR="00A81D7E">
        <w:t xml:space="preserve">t is reasonable that </w:t>
      </w:r>
      <w:r>
        <w:t xml:space="preserve">not just the heat, but </w:t>
      </w:r>
      <w:r w:rsidR="00A81D7E">
        <w:t xml:space="preserve">the </w:t>
      </w:r>
      <w:r>
        <w:t xml:space="preserve">particle </w:t>
      </w:r>
      <w:r w:rsidR="000816D3">
        <w:t xml:space="preserve">current </w:t>
      </w:r>
      <w:r>
        <w:t xml:space="preserve">too </w:t>
      </w:r>
      <w:r w:rsidR="000816D3">
        <w:t>can depend on the temperature gradient, since a higher temperature in one compartment would certainly result in a net flow of particles in the direction of the smaller temperature</w:t>
      </w:r>
      <w:r w:rsidR="00106C8B">
        <w:t xml:space="preserve"> since the higher T particles would be moving faster</w:t>
      </w:r>
      <w:r w:rsidR="000816D3">
        <w:t xml:space="preserve">.  </w:t>
      </w:r>
      <w:r w:rsidR="00A81D7E">
        <w:t xml:space="preserve">And by same token </w:t>
      </w:r>
      <w:r w:rsidR="00D44CB2">
        <w:t xml:space="preserve">it </w:t>
      </w:r>
      <w:r w:rsidR="00A81D7E">
        <w:t xml:space="preserve">is reasonable that the </w:t>
      </w:r>
      <w:r w:rsidR="002A4024">
        <w:t>heat current</w:t>
      </w:r>
      <w:r w:rsidR="00A81D7E">
        <w:t xml:space="preserve"> can now depend on </w:t>
      </w:r>
      <w:r w:rsidR="002A4024">
        <w:rPr>
          <w:rFonts w:ascii="Calibri" w:hAnsi="Calibri" w:cs="Calibri"/>
        </w:rPr>
        <w:t>Δμ</w:t>
      </w:r>
      <w:r w:rsidR="002A4024">
        <w:t xml:space="preserve"> as well as </w:t>
      </w:r>
      <w:r w:rsidR="00A81D7E">
        <w:rPr>
          <w:rFonts w:ascii="Calibri" w:hAnsi="Calibri" w:cs="Calibri"/>
        </w:rPr>
        <w:t>Δ</w:t>
      </w:r>
      <w:r w:rsidR="00A81D7E">
        <w:t>T</w:t>
      </w:r>
      <w:r w:rsidR="00A81D7E">
        <w:rPr>
          <w:rFonts w:ascii="Calibri" w:hAnsi="Calibri" w:cs="Calibri"/>
        </w:rPr>
        <w:t xml:space="preserve">.  </w:t>
      </w:r>
    </w:p>
    <w:p w14:paraId="7FA68D6C" w14:textId="77777777" w:rsidR="00F66B3B" w:rsidRDefault="00F66B3B" w:rsidP="000816D3">
      <w:pPr>
        <w:pStyle w:val="NoSpacing"/>
        <w:rPr>
          <w:rFonts w:ascii="Calibri" w:hAnsi="Calibri" w:cs="Calibri"/>
        </w:rPr>
      </w:pPr>
    </w:p>
    <w:p w14:paraId="00953E84" w14:textId="2A61BB86" w:rsidR="00C53A7C" w:rsidRDefault="00C53A7C" w:rsidP="000816D3">
      <w:pPr>
        <w:pStyle w:val="NoSpacing"/>
        <w:rPr>
          <w:rFonts w:ascii="Calibri" w:eastAsiaTheme="minorEastAsia" w:hAnsi="Calibri" w:cs="Calibri"/>
        </w:rPr>
      </w:pPr>
      <w:r>
        <w:rPr>
          <w:rFonts w:ascii="Calibri" w:hAnsi="Calibri" w:cs="Calibri"/>
        </w:rPr>
        <w:t>By the way, one define</w:t>
      </w:r>
      <w:r w:rsidR="00F66B3B">
        <w:rPr>
          <w:rFonts w:ascii="Calibri" w:hAnsi="Calibri" w:cs="Calibri"/>
        </w:rPr>
        <w:t>s</w:t>
      </w:r>
      <w:r>
        <w:rPr>
          <w:rFonts w:ascii="Calibri" w:hAnsi="Calibri" w:cs="Calibri"/>
        </w:rPr>
        <w:t xml:space="preserve"> the thermal conductivity</w:t>
      </w:r>
      <w:r w:rsidR="005E783E">
        <w:rPr>
          <w:rFonts w:ascii="Calibri" w:hAnsi="Calibri" w:cs="Calibri"/>
        </w:rPr>
        <w:t xml:space="preserve"> proper</w:t>
      </w:r>
      <w:r>
        <w:rPr>
          <w:rFonts w:ascii="Calibri" w:hAnsi="Calibri" w:cs="Calibri"/>
        </w:rPr>
        <w:t xml:space="preserve"> as the proportionality between </w:t>
      </w:r>
      <m:oMath>
        <m:acc>
          <m:accPr>
            <m:chr m:val="̇"/>
            <m:ctrlPr>
              <w:rPr>
                <w:rFonts w:ascii="Cambria Math" w:hAnsi="Cambria Math" w:cs="Calibri"/>
                <w:i/>
              </w:rPr>
            </m:ctrlPr>
          </m:accPr>
          <m:e>
            <m:r>
              <w:rPr>
                <w:rFonts w:ascii="Cambria Math" w:hAnsi="Cambria Math" w:cs="Calibri"/>
              </w:rPr>
              <m:t>Q</m:t>
            </m:r>
          </m:e>
        </m:acc>
      </m:oMath>
      <w:r>
        <w:rPr>
          <w:rFonts w:ascii="Calibri" w:eastAsiaTheme="minorEastAsia" w:hAnsi="Calibri" w:cs="Calibri"/>
        </w:rPr>
        <w:t xml:space="preserve"> and ΔT when the </w:t>
      </w:r>
      <w:r w:rsidR="002F341A">
        <w:rPr>
          <w:rFonts w:ascii="Calibri" w:eastAsiaTheme="minorEastAsia" w:hAnsi="Calibri" w:cs="Calibri"/>
        </w:rPr>
        <w:t xml:space="preserve">particle </w:t>
      </w:r>
      <w:r>
        <w:rPr>
          <w:rFonts w:ascii="Calibri" w:eastAsiaTheme="minorEastAsia" w:hAnsi="Calibri" w:cs="Calibri"/>
        </w:rPr>
        <w:t xml:space="preserve">current is zero.  </w:t>
      </w:r>
      <w:r w:rsidR="005E783E">
        <w:rPr>
          <w:rFonts w:ascii="Calibri" w:eastAsiaTheme="minorEastAsia" w:hAnsi="Calibri" w:cs="Calibri"/>
        </w:rPr>
        <w:t>The latter condition is achieved by setting,</w:t>
      </w:r>
    </w:p>
    <w:p w14:paraId="216ABA0A" w14:textId="166FE22F" w:rsidR="005E783E" w:rsidRDefault="005E783E" w:rsidP="000816D3">
      <w:pPr>
        <w:pStyle w:val="NoSpacing"/>
        <w:rPr>
          <w:rFonts w:ascii="Calibri" w:eastAsiaTheme="minorEastAsia" w:hAnsi="Calibri" w:cs="Calibri"/>
        </w:rPr>
      </w:pPr>
    </w:p>
    <w:p w14:paraId="5D44E2AA" w14:textId="1C710656" w:rsidR="005E783E" w:rsidRDefault="0062484C" w:rsidP="000816D3">
      <w:pPr>
        <w:pStyle w:val="NoSpacing"/>
      </w:pPr>
      <w:r w:rsidRPr="0062484C">
        <w:rPr>
          <w:position w:val="-102"/>
        </w:rPr>
        <w:object w:dxaOrig="2140" w:dyaOrig="1740" w14:anchorId="6FE343E8">
          <v:shape id="_x0000_i1037" type="#_x0000_t75" style="width:108.5pt;height:86.5pt" o:ole="">
            <v:imagedata r:id="rId28" o:title=""/>
          </v:shape>
          <o:OLEObject Type="Embed" ProgID="Equation.DSMT4" ShapeID="_x0000_i1037" DrawAspect="Content" ObjectID="_1799843148" r:id="rId29"/>
        </w:object>
      </w:r>
    </w:p>
    <w:p w14:paraId="664E4753" w14:textId="641332D0" w:rsidR="005E783E" w:rsidRDefault="005E783E" w:rsidP="000816D3">
      <w:pPr>
        <w:pStyle w:val="NoSpacing"/>
      </w:pPr>
    </w:p>
    <w:p w14:paraId="50BE58C2" w14:textId="408570A0" w:rsidR="005E783E" w:rsidRDefault="005E783E" w:rsidP="000816D3">
      <w:pPr>
        <w:pStyle w:val="NoSpacing"/>
      </w:pPr>
      <w:r>
        <w:t>So filling that i</w:t>
      </w:r>
      <w:r w:rsidR="0030186B">
        <w:t>n</w:t>
      </w:r>
      <w:r>
        <w:t>to the top equation,</w:t>
      </w:r>
    </w:p>
    <w:p w14:paraId="47BB2992" w14:textId="77777777" w:rsidR="005E783E" w:rsidRDefault="005E783E" w:rsidP="000816D3">
      <w:pPr>
        <w:pStyle w:val="NoSpacing"/>
        <w:rPr>
          <w:rFonts w:ascii="Calibri" w:hAnsi="Calibri" w:cs="Calibri"/>
        </w:rPr>
      </w:pPr>
    </w:p>
    <w:p w14:paraId="2C877D00" w14:textId="5D57A907" w:rsidR="00C53A7C" w:rsidRDefault="00187669" w:rsidP="000816D3">
      <w:pPr>
        <w:pStyle w:val="NoSpacing"/>
      </w:pPr>
      <w:r w:rsidRPr="002A4024">
        <w:rPr>
          <w:position w:val="-110"/>
        </w:rPr>
        <w:object w:dxaOrig="3600" w:dyaOrig="2240" w14:anchorId="1576509B">
          <v:shape id="_x0000_i1038" type="#_x0000_t75" style="width:183pt;height:112pt" o:ole="">
            <v:imagedata r:id="rId30" o:title=""/>
          </v:shape>
          <o:OLEObject Type="Embed" ProgID="Equation.DSMT4" ShapeID="_x0000_i1038" DrawAspect="Content" ObjectID="_1799843149" r:id="rId31"/>
        </w:object>
      </w:r>
    </w:p>
    <w:p w14:paraId="06FC4AA3" w14:textId="17C80192" w:rsidR="00187669" w:rsidRDefault="00187669" w:rsidP="000816D3">
      <w:pPr>
        <w:pStyle w:val="NoSpacing"/>
      </w:pPr>
    </w:p>
    <w:p w14:paraId="6EF0F3E9" w14:textId="6EBC2DCD" w:rsidR="00187669" w:rsidRDefault="00187669" w:rsidP="000816D3">
      <w:pPr>
        <w:pStyle w:val="NoSpacing"/>
      </w:pPr>
      <w:r>
        <w:t>And we can extract the cross section area of our sample to say,</w:t>
      </w:r>
    </w:p>
    <w:p w14:paraId="4435FAD2" w14:textId="65E4331D" w:rsidR="00187669" w:rsidRDefault="00187669" w:rsidP="000816D3">
      <w:pPr>
        <w:pStyle w:val="NoSpacing"/>
      </w:pPr>
    </w:p>
    <w:p w14:paraId="7E89BDCB" w14:textId="001BF711" w:rsidR="00187669" w:rsidRDefault="00187669" w:rsidP="000816D3">
      <w:pPr>
        <w:pStyle w:val="NoSpacing"/>
      </w:pPr>
      <w:r w:rsidRPr="00187669">
        <w:rPr>
          <w:position w:val="-32"/>
        </w:rPr>
        <w:object w:dxaOrig="4940" w:dyaOrig="760" w14:anchorId="18AF1F48">
          <v:shape id="_x0000_i1039" type="#_x0000_t75" style="width:247pt;height:38pt" o:ole="" o:bordertopcolor="#0070c0" o:borderleftcolor="#0070c0" o:borderbottomcolor="#0070c0" o:borderrightcolor="#0070c0">
            <v:imagedata r:id="rId32" o:title=""/>
            <w10:bordertop type="single" width="8"/>
            <w10:borderleft type="single" width="8"/>
            <w10:borderbottom type="single" width="8"/>
            <w10:borderright type="single" width="8"/>
          </v:shape>
          <o:OLEObject Type="Embed" ProgID="Equation.DSMT4" ShapeID="_x0000_i1039" DrawAspect="Content" ObjectID="_1799843150" r:id="rId33"/>
        </w:object>
      </w:r>
    </w:p>
    <w:p w14:paraId="51A65AE5" w14:textId="77777777" w:rsidR="002A4024" w:rsidRDefault="002A4024" w:rsidP="000816D3">
      <w:pPr>
        <w:pStyle w:val="NoSpacing"/>
      </w:pPr>
    </w:p>
    <w:p w14:paraId="23F744DE" w14:textId="667EAAC7" w:rsidR="000816D3" w:rsidRDefault="00C047AB" w:rsidP="000816D3">
      <w:pPr>
        <w:pStyle w:val="NoSpacing"/>
      </w:pPr>
      <w:r>
        <w:t xml:space="preserve">where k is the so-called </w:t>
      </w:r>
      <w:r w:rsidRPr="00C047AB">
        <w:rPr>
          <w:i/>
        </w:rPr>
        <w:t>thermal conductivity</w:t>
      </w:r>
      <w:r>
        <w:t xml:space="preserve">.  </w:t>
      </w:r>
      <w:r w:rsidR="002A4024">
        <w:t>In the example with just heat conduction, our result was basically just L</w:t>
      </w:r>
      <w:r w:rsidR="002A4024">
        <w:rPr>
          <w:vertAlign w:val="subscript"/>
        </w:rPr>
        <w:t>11</w:t>
      </w:r>
      <w:r w:rsidR="002A4024">
        <w:t>/A.  So we might imagine L</w:t>
      </w:r>
      <w:r w:rsidR="002A4024">
        <w:rPr>
          <w:vertAlign w:val="subscript"/>
        </w:rPr>
        <w:t>12</w:t>
      </w:r>
      <w:r w:rsidR="000F6CCC">
        <w:rPr>
          <w:vertAlign w:val="superscript"/>
        </w:rPr>
        <w:t>2</w:t>
      </w:r>
      <w:r w:rsidR="000F6CCC">
        <w:t>/L</w:t>
      </w:r>
      <w:r w:rsidR="000F6CCC">
        <w:rPr>
          <w:vertAlign w:val="subscript"/>
        </w:rPr>
        <w:t>22</w:t>
      </w:r>
      <w:r w:rsidR="000F6CCC">
        <w:t xml:space="preserve"> to be a small correction? </w:t>
      </w:r>
      <w:r w:rsidR="002A4024">
        <w:t xml:space="preserve"> </w:t>
      </w:r>
      <w:r w:rsidR="000F6CCC">
        <w:t xml:space="preserve">Maybe it’s not small if we have mobile charge carriers.  </w:t>
      </w:r>
      <w:r w:rsidR="000816D3">
        <w:t>In any event, to work out the dynamics of the two systems, we would plug these equations into the balances,</w:t>
      </w:r>
    </w:p>
    <w:p w14:paraId="6019B5CA" w14:textId="77777777" w:rsidR="000816D3" w:rsidRDefault="000816D3" w:rsidP="000816D3">
      <w:pPr>
        <w:pStyle w:val="NoSpacing"/>
      </w:pPr>
    </w:p>
    <w:p w14:paraId="6F5F907B" w14:textId="2426FC6D" w:rsidR="007C1136" w:rsidRDefault="007C1136" w:rsidP="000816D3">
      <w:pPr>
        <w:pStyle w:val="NoSpacing"/>
      </w:pPr>
      <w:r w:rsidRPr="000D6CC3">
        <w:rPr>
          <w:position w:val="-136"/>
        </w:rPr>
        <w:object w:dxaOrig="4780" w:dyaOrig="2840" w14:anchorId="6E6ECA51">
          <v:shape id="_x0000_i1040" type="#_x0000_t75" style="width:235.5pt;height:137.5pt" o:ole="">
            <v:imagedata r:id="rId34" o:title=""/>
          </v:shape>
          <o:OLEObject Type="Embed" ProgID="Equation.DSMT4" ShapeID="_x0000_i1040" DrawAspect="Content" ObjectID="_1799843151" r:id="rId35"/>
        </w:object>
      </w:r>
      <w:r w:rsidR="000816D3">
        <w:tab/>
      </w:r>
    </w:p>
    <w:p w14:paraId="06AEAE41" w14:textId="765FA01E" w:rsidR="007C1136" w:rsidRDefault="007C1136" w:rsidP="000816D3">
      <w:pPr>
        <w:pStyle w:val="NoSpacing"/>
      </w:pPr>
    </w:p>
    <w:p w14:paraId="4D8E9B0E" w14:textId="65F9F25D" w:rsidR="007C1136" w:rsidRDefault="007C1136" w:rsidP="000816D3">
      <w:pPr>
        <w:pStyle w:val="NoSpacing"/>
      </w:pPr>
      <w:r>
        <w:t>and,</w:t>
      </w:r>
    </w:p>
    <w:p w14:paraId="40D3D63E" w14:textId="19CED70D" w:rsidR="007C1136" w:rsidRDefault="007C1136" w:rsidP="000816D3">
      <w:pPr>
        <w:pStyle w:val="NoSpacing"/>
      </w:pPr>
    </w:p>
    <w:p w14:paraId="2F1CCEFD" w14:textId="5D6079F7" w:rsidR="007C1136" w:rsidRDefault="007C1136" w:rsidP="000816D3">
      <w:pPr>
        <w:pStyle w:val="NoSpacing"/>
      </w:pPr>
      <w:r w:rsidRPr="007C1136">
        <w:rPr>
          <w:position w:val="-62"/>
        </w:rPr>
        <w:object w:dxaOrig="2280" w:dyaOrig="1340" w14:anchorId="7F3D7B66">
          <v:shape id="_x0000_i1041" type="#_x0000_t75" style="width:112.5pt;height:65pt" o:ole="">
            <v:imagedata r:id="rId36" o:title=""/>
          </v:shape>
          <o:OLEObject Type="Embed" ProgID="Equation.DSMT4" ShapeID="_x0000_i1041" DrawAspect="Content" ObjectID="_1799843152" r:id="rId37"/>
        </w:object>
      </w:r>
    </w:p>
    <w:p w14:paraId="5933E90C" w14:textId="77777777" w:rsidR="00310098" w:rsidRDefault="00310098" w:rsidP="000816D3">
      <w:pPr>
        <w:pStyle w:val="NoSpacing"/>
      </w:pPr>
    </w:p>
    <w:p w14:paraId="59C5ED1D" w14:textId="52D35645" w:rsidR="007C1136" w:rsidRDefault="007C1136" w:rsidP="000816D3">
      <w:pPr>
        <w:pStyle w:val="NoSpacing"/>
      </w:pPr>
      <w:r>
        <w:t>and for the second compartment,</w:t>
      </w:r>
    </w:p>
    <w:p w14:paraId="6F095DD1" w14:textId="77777777" w:rsidR="007C1136" w:rsidRDefault="007C1136" w:rsidP="000816D3">
      <w:pPr>
        <w:pStyle w:val="NoSpacing"/>
      </w:pPr>
    </w:p>
    <w:p w14:paraId="555FE89D" w14:textId="1D1376CD" w:rsidR="000816D3" w:rsidRDefault="007C1136" w:rsidP="000816D3">
      <w:pPr>
        <w:pStyle w:val="NoSpacing"/>
      </w:pPr>
      <w:r w:rsidRPr="007C1136">
        <w:rPr>
          <w:position w:val="-202"/>
        </w:rPr>
        <w:object w:dxaOrig="4819" w:dyaOrig="4540" w14:anchorId="2B5488B4">
          <v:shape id="_x0000_i1042" type="#_x0000_t75" style="width:235.5pt;height:219.5pt" o:ole="">
            <v:imagedata r:id="rId38" o:title=""/>
          </v:shape>
          <o:OLEObject Type="Embed" ProgID="Equation.DSMT4" ShapeID="_x0000_i1042" DrawAspect="Content" ObjectID="_1799843153" r:id="rId39"/>
        </w:object>
      </w:r>
      <w:r w:rsidR="000816D3">
        <w:t xml:space="preserve"> </w:t>
      </w:r>
    </w:p>
    <w:p w14:paraId="5B6BADE5" w14:textId="77777777" w:rsidR="000816D3" w:rsidRDefault="000816D3" w:rsidP="000816D3">
      <w:pPr>
        <w:pStyle w:val="NoSpacing"/>
      </w:pPr>
    </w:p>
    <w:p w14:paraId="4CFB0262" w14:textId="64762717" w:rsidR="000816D3" w:rsidRPr="00CC477A" w:rsidRDefault="000816D3" w:rsidP="000816D3">
      <w:pPr>
        <w:pStyle w:val="NoSpacing"/>
        <w:rPr>
          <w:vertAlign w:val="subscript"/>
        </w:rPr>
      </w:pPr>
      <w:r>
        <w:t>And these equations suffice, since we have 4 unknowns: T</w:t>
      </w:r>
      <w:r w:rsidR="001714BC">
        <w:rPr>
          <w:vertAlign w:val="subscript"/>
        </w:rPr>
        <w:t>1,2</w:t>
      </w:r>
      <w:r>
        <w:t>, N</w:t>
      </w:r>
      <w:r w:rsidR="001714BC">
        <w:rPr>
          <w:vertAlign w:val="subscript"/>
        </w:rPr>
        <w:t>1,2</w:t>
      </w:r>
      <w:r>
        <w:t xml:space="preserve">, and four equations.  </w:t>
      </w:r>
    </w:p>
    <w:p w14:paraId="3C5E5797" w14:textId="77777777" w:rsidR="00D44CB2" w:rsidRDefault="00D44CB2" w:rsidP="000816D3">
      <w:pPr>
        <w:pStyle w:val="NoSpacing"/>
        <w:rPr>
          <w:b/>
          <w:sz w:val="24"/>
        </w:rPr>
      </w:pPr>
    </w:p>
    <w:p w14:paraId="48CF858F" w14:textId="6E688FB7" w:rsidR="000816D3" w:rsidRPr="00D44CB2" w:rsidRDefault="00E83E82" w:rsidP="000816D3">
      <w:pPr>
        <w:pStyle w:val="NoSpacing"/>
        <w:rPr>
          <w:b/>
          <w:szCs w:val="20"/>
        </w:rPr>
      </w:pPr>
      <w:r w:rsidRPr="00D44CB2">
        <w:rPr>
          <w:b/>
          <w:szCs w:val="20"/>
        </w:rPr>
        <w:t xml:space="preserve">Heat Conduction and </w:t>
      </w:r>
      <w:r w:rsidR="000816D3" w:rsidRPr="00D44CB2">
        <w:rPr>
          <w:b/>
          <w:szCs w:val="20"/>
        </w:rPr>
        <w:t>Diffusion with open border</w:t>
      </w:r>
      <w:r w:rsidR="00B843CD" w:rsidRPr="00D44CB2">
        <w:rPr>
          <w:b/>
          <w:szCs w:val="20"/>
        </w:rPr>
        <w:t xml:space="preserve"> on sides</w:t>
      </w:r>
    </w:p>
    <w:p w14:paraId="5C43AB4B" w14:textId="31425A10" w:rsidR="000816D3" w:rsidRPr="00E7467E" w:rsidRDefault="000816D3" w:rsidP="000816D3">
      <w:pPr>
        <w:pStyle w:val="NoSpacing"/>
      </w:pPr>
      <w:r w:rsidRPr="00E7467E">
        <w:t xml:space="preserve">Consider the following setup.  Let’s suppose the different compartments can be at different </w:t>
      </w:r>
      <w:r w:rsidR="00163574">
        <w:t xml:space="preserve">initial </w:t>
      </w:r>
      <w:r w:rsidRPr="00E7467E">
        <w:t>temperatures and chemical potentials</w:t>
      </w:r>
      <w:r w:rsidR="00790891">
        <w:t xml:space="preserve">.  </w:t>
      </w:r>
      <w:r w:rsidRPr="00E7467E">
        <w:t>The particle current will conduct energy, and so that’ll be included in dU/dt</w:t>
      </w:r>
      <w:r w:rsidR="00106C8B">
        <w:t>.</w:t>
      </w:r>
      <w:r w:rsidR="00163574">
        <w:t xml:space="preserve">  I’ll take my system to be just the middle two, which will leave out the entropy production terms between 1-2 and 3-4, but I want to see if we still get the same result for 2-3 that we did for the closed system above.</w:t>
      </w:r>
    </w:p>
    <w:p w14:paraId="727D959C" w14:textId="0581ECCD" w:rsidR="00E81F93" w:rsidRDefault="00E81F93" w:rsidP="000816D3">
      <w:pPr>
        <w:pStyle w:val="NoSpacing"/>
      </w:pPr>
    </w:p>
    <w:p w14:paraId="055AD079" w14:textId="4534EDAC" w:rsidR="000816D3" w:rsidRDefault="0040305D" w:rsidP="000816D3">
      <w:pPr>
        <w:pStyle w:val="NoSpacing"/>
      </w:pPr>
      <w:r>
        <w:object w:dxaOrig="7681" w:dyaOrig="3600" w14:anchorId="650D1DDB">
          <v:shape id="_x0000_i1043" type="#_x0000_t75" style="width:240pt;height:84pt" o:ole="">
            <v:imagedata r:id="rId40" o:title="" croptop="12015f" cropbottom="22719f" cropleft="7107f" cropright="17121f"/>
          </v:shape>
          <o:OLEObject Type="Embed" ProgID="PBrush" ShapeID="_x0000_i1043" DrawAspect="Content" ObjectID="_1799843154" r:id="rId41"/>
        </w:object>
      </w:r>
    </w:p>
    <w:p w14:paraId="07FC69A2" w14:textId="77777777" w:rsidR="000816D3" w:rsidRDefault="000816D3" w:rsidP="000816D3">
      <w:pPr>
        <w:pStyle w:val="NoSpacing"/>
      </w:pPr>
    </w:p>
    <w:p w14:paraId="796D1DC0" w14:textId="77777777" w:rsidR="000816D3" w:rsidRDefault="000816D3" w:rsidP="000816D3">
      <w:pPr>
        <w:pStyle w:val="NoSpacing"/>
      </w:pPr>
      <w:r>
        <w:t>The balance equations would be:</w:t>
      </w:r>
    </w:p>
    <w:p w14:paraId="6A1B4DE7" w14:textId="77777777" w:rsidR="000816D3" w:rsidRDefault="000816D3" w:rsidP="000816D3">
      <w:pPr>
        <w:pStyle w:val="NoSpacing"/>
      </w:pPr>
    </w:p>
    <w:p w14:paraId="34887A33" w14:textId="7F6DF8AF" w:rsidR="000816D3" w:rsidRDefault="00C330A5" w:rsidP="000816D3">
      <w:pPr>
        <w:pStyle w:val="NoSpacing"/>
      </w:pPr>
      <w:r w:rsidRPr="0049346F">
        <w:rPr>
          <w:position w:val="-58"/>
        </w:rPr>
        <w:object w:dxaOrig="4599" w:dyaOrig="1280" w14:anchorId="433F4ACD">
          <v:shape id="_x0000_i1044" type="#_x0000_t75" style="width:228pt;height:66pt" o:ole="">
            <v:imagedata r:id="rId42" o:title=""/>
          </v:shape>
          <o:OLEObject Type="Embed" ProgID="Equation.DSMT4" ShapeID="_x0000_i1044" DrawAspect="Content" ObjectID="_1799843155" r:id="rId43"/>
        </w:object>
      </w:r>
    </w:p>
    <w:p w14:paraId="72C4C3DA" w14:textId="4079F7F7" w:rsidR="000816D3" w:rsidRDefault="000816D3" w:rsidP="000816D3">
      <w:pPr>
        <w:pStyle w:val="NoSpacing"/>
      </w:pPr>
    </w:p>
    <w:p w14:paraId="222A8EAE" w14:textId="75AD9B5C" w:rsidR="00B579EA" w:rsidRDefault="00B579EA" w:rsidP="000816D3">
      <w:pPr>
        <w:pStyle w:val="NoSpacing"/>
      </w:pPr>
      <w:r>
        <w:t>And we’ll recall that we could write:</w:t>
      </w:r>
    </w:p>
    <w:p w14:paraId="202E1687" w14:textId="2323077F" w:rsidR="00B579EA" w:rsidRDefault="00B579EA" w:rsidP="000816D3">
      <w:pPr>
        <w:pStyle w:val="NoSpacing"/>
      </w:pPr>
    </w:p>
    <w:p w14:paraId="11E34D6F" w14:textId="53A1FF25" w:rsidR="00B579EA" w:rsidRDefault="00504439" w:rsidP="000816D3">
      <w:pPr>
        <w:pStyle w:val="NoSpacing"/>
      </w:pPr>
      <w:r w:rsidRPr="00713EA2">
        <w:rPr>
          <w:position w:val="-98"/>
        </w:rPr>
        <w:object w:dxaOrig="8040" w:dyaOrig="2079" w14:anchorId="581E5AF0">
          <v:shape id="_x0000_i1045" type="#_x0000_t75" style="width:402pt;height:104pt" o:ole="">
            <v:imagedata r:id="rId44" o:title=""/>
          </v:shape>
          <o:OLEObject Type="Embed" ProgID="Equation.DSMT4" ShapeID="_x0000_i1045" DrawAspect="Content" ObjectID="_1799843156" r:id="rId45"/>
        </w:object>
      </w:r>
    </w:p>
    <w:p w14:paraId="6E8987F0" w14:textId="77777777" w:rsidR="00B579EA" w:rsidRDefault="00B579EA" w:rsidP="000816D3">
      <w:pPr>
        <w:pStyle w:val="NoSpacing"/>
      </w:pPr>
    </w:p>
    <w:p w14:paraId="78B3DAA0" w14:textId="4C892A32" w:rsidR="00CC1D70" w:rsidRDefault="00504439" w:rsidP="000816D3">
      <w:pPr>
        <w:pStyle w:val="NoSpacing"/>
      </w:pPr>
      <w:r>
        <w:t xml:space="preserve">where the </w:t>
      </w:r>
      <w:r>
        <w:rPr>
          <w:vertAlign w:val="superscript"/>
        </w:rPr>
        <w:t>12</w:t>
      </w:r>
      <w:r>
        <w:t xml:space="preserve"> on </w:t>
      </w:r>
      <w:r w:rsidRPr="00504439">
        <w:rPr>
          <w:u w:val="single"/>
        </w:rPr>
        <w:t>H</w:t>
      </w:r>
      <w:r>
        <w:rPr>
          <w:vertAlign w:val="subscript"/>
        </w:rPr>
        <w:t>ave</w:t>
      </w:r>
      <w:r>
        <w:t xml:space="preserve"> is to remind us that we’re averaging the enthalpies of particle sets 1 and 2.  </w:t>
      </w:r>
      <w:r w:rsidR="000816D3">
        <w:t>And then the entropy balance would look like…</w:t>
      </w:r>
      <w:r w:rsidR="00CC1D70">
        <w:t xml:space="preserve"> </w:t>
      </w:r>
    </w:p>
    <w:p w14:paraId="7C82327C" w14:textId="77777777" w:rsidR="00CC1D70" w:rsidRDefault="00CC1D70" w:rsidP="00CC1D70">
      <w:pPr>
        <w:pStyle w:val="NoSpacing"/>
      </w:pPr>
    </w:p>
    <w:p w14:paraId="29D7BB5B" w14:textId="453A7369" w:rsidR="00CC1D70" w:rsidRDefault="004466CC" w:rsidP="00CC1D70">
      <w:pPr>
        <w:pStyle w:val="NoSpacing"/>
      </w:pPr>
      <w:r w:rsidRPr="004466CC">
        <w:rPr>
          <w:position w:val="-144"/>
        </w:rPr>
        <w:object w:dxaOrig="12580" w:dyaOrig="3000" w14:anchorId="59B0DEB3">
          <v:shape id="_x0000_i1046" type="#_x0000_t75" style="width:529pt;height:130.5pt" o:ole="">
            <v:imagedata r:id="rId46" o:title=""/>
          </v:shape>
          <o:OLEObject Type="Embed" ProgID="Equation.DSMT4" ShapeID="_x0000_i1046" DrawAspect="Content" ObjectID="_1799843157" r:id="rId47"/>
        </w:object>
      </w:r>
    </w:p>
    <w:p w14:paraId="543B52B9" w14:textId="59E9F63A" w:rsidR="00CC1D70" w:rsidRDefault="00CC1D70" w:rsidP="00CC1D70">
      <w:pPr>
        <w:pStyle w:val="NoSpacing"/>
      </w:pPr>
    </w:p>
    <w:p w14:paraId="7F97F053" w14:textId="3698EA00" w:rsidR="003169A4" w:rsidRPr="00B50D0D" w:rsidRDefault="003169A4" w:rsidP="00CC1D70">
      <w:pPr>
        <w:pStyle w:val="NoSpacing"/>
      </w:pPr>
      <w:r>
        <w:t>At this point, I think we have to say that the intensive properties of box</w:t>
      </w:r>
      <w:r w:rsidR="008F4976">
        <w:t>e</w:t>
      </w:r>
      <w:r>
        <w:t>s 1 &amp; 2, as well as 3 &amp; 4, are similar enough to be identical, so that we can effectively form an expression for the entropy current</w:t>
      </w:r>
      <w:r w:rsidR="00AB237D">
        <w:t xml:space="preserve">, ‘cause again, we cannot have two different entropy currents when it’s the same species with similar properties (and properties must be similar because we’re near equilibrium).  </w:t>
      </w:r>
      <w:r w:rsidR="00E415F6">
        <w:t xml:space="preserve">Might say then why not equate 2 and 3 as well.  But…so gonna replace </w:t>
      </w:r>
      <w:r w:rsidR="00504439" w:rsidRPr="00504439">
        <w:rPr>
          <w:u w:val="single"/>
        </w:rPr>
        <w:t>H</w:t>
      </w:r>
      <w:r w:rsidR="00504439">
        <w:rPr>
          <w:vertAlign w:val="subscript"/>
        </w:rPr>
        <w:t>ave</w:t>
      </w:r>
      <w:r w:rsidR="00504439">
        <w:rPr>
          <w:vertAlign w:val="superscript"/>
        </w:rPr>
        <w:t>12</w:t>
      </w:r>
      <w:r w:rsidR="00504439">
        <w:t xml:space="preserve"> </w:t>
      </w:r>
      <w:r w:rsidR="00E415F6">
        <w:t xml:space="preserve">→ </w:t>
      </w:r>
      <w:r w:rsidR="00504439">
        <w:rPr>
          <w:u w:val="single"/>
        </w:rPr>
        <w:t>H</w:t>
      </w:r>
      <w:r w:rsidR="00E415F6">
        <w:rPr>
          <w:vertAlign w:val="subscript"/>
        </w:rPr>
        <w:t>2</w:t>
      </w:r>
      <w:r w:rsidR="00E415F6">
        <w:t xml:space="preserve"> + p</w:t>
      </w:r>
      <w:r w:rsidR="00E415F6">
        <w:rPr>
          <w:vertAlign w:val="subscript"/>
        </w:rPr>
        <w:t>2</w:t>
      </w:r>
      <w:r w:rsidR="00E415F6" w:rsidRPr="00E415F6">
        <w:rPr>
          <w:u w:val="single"/>
        </w:rPr>
        <w:t>V</w:t>
      </w:r>
      <w:r w:rsidR="00E415F6">
        <w:rPr>
          <w:vertAlign w:val="subscript"/>
        </w:rPr>
        <w:t>2</w:t>
      </w:r>
      <w:r w:rsidR="00E415F6">
        <w:t xml:space="preserve"> and </w:t>
      </w:r>
      <w:r w:rsidR="00504439" w:rsidRPr="00504439">
        <w:rPr>
          <w:u w:val="single"/>
        </w:rPr>
        <w:t>H</w:t>
      </w:r>
      <w:r w:rsidR="00504439">
        <w:rPr>
          <w:vertAlign w:val="subscript"/>
        </w:rPr>
        <w:t>ave</w:t>
      </w:r>
      <w:r w:rsidR="00504439">
        <w:rPr>
          <w:vertAlign w:val="superscript"/>
        </w:rPr>
        <w:t>34</w:t>
      </w:r>
      <w:r w:rsidR="00504439">
        <w:t xml:space="preserve"> </w:t>
      </w:r>
      <w:r w:rsidR="00E415F6">
        <w:t xml:space="preserve">→ </w:t>
      </w:r>
      <w:r w:rsidR="00504439">
        <w:rPr>
          <w:u w:val="single"/>
        </w:rPr>
        <w:t>H</w:t>
      </w:r>
      <w:r w:rsidR="00E415F6">
        <w:rPr>
          <w:vertAlign w:val="subscript"/>
        </w:rPr>
        <w:t>3</w:t>
      </w:r>
      <w:r w:rsidR="00E415F6">
        <w:t>.  And then also write I</w:t>
      </w:r>
      <w:r w:rsidR="00E415F6">
        <w:rPr>
          <w:vertAlign w:val="subscript"/>
        </w:rPr>
        <w:t>S12</w:t>
      </w:r>
      <w:r w:rsidR="00E415F6">
        <w:t xml:space="preserve"> = </w:t>
      </w:r>
      <w:r w:rsidR="00B50D0D" w:rsidRPr="00B50D0D">
        <w:rPr>
          <w:u w:val="single"/>
        </w:rPr>
        <w:t>S</w:t>
      </w:r>
      <w:r w:rsidR="00B50D0D">
        <w:rPr>
          <w:vertAlign w:val="subscript"/>
        </w:rPr>
        <w:t>2</w:t>
      </w:r>
      <w:r w:rsidR="00B50D0D">
        <w:t>I</w:t>
      </w:r>
      <w:r w:rsidR="00B50D0D">
        <w:rPr>
          <w:vertAlign w:val="subscript"/>
        </w:rPr>
        <w:t>12</w:t>
      </w:r>
      <w:r w:rsidR="00B50D0D">
        <w:t xml:space="preserve"> (could say </w:t>
      </w:r>
      <w:r w:rsidR="00B50D0D" w:rsidRPr="00B50D0D">
        <w:rPr>
          <w:u w:val="single"/>
        </w:rPr>
        <w:t>S</w:t>
      </w:r>
      <w:r w:rsidR="00B50D0D">
        <w:rPr>
          <w:vertAlign w:val="subscript"/>
        </w:rPr>
        <w:t>1</w:t>
      </w:r>
      <w:r w:rsidR="00B50D0D">
        <w:t>I</w:t>
      </w:r>
      <w:r w:rsidR="00B50D0D">
        <w:rPr>
          <w:vertAlign w:val="subscript"/>
        </w:rPr>
        <w:t>12</w:t>
      </w:r>
      <w:r w:rsidR="00B50D0D">
        <w:t xml:space="preserve"> but again, presuming no appreciable difference), and I</w:t>
      </w:r>
      <w:r w:rsidR="00B50D0D">
        <w:rPr>
          <w:vertAlign w:val="subscript"/>
        </w:rPr>
        <w:t>S34</w:t>
      </w:r>
      <w:r w:rsidR="00B50D0D">
        <w:t xml:space="preserve"> = </w:t>
      </w:r>
      <w:r w:rsidR="00B50D0D" w:rsidRPr="00B50D0D">
        <w:rPr>
          <w:u w:val="single"/>
        </w:rPr>
        <w:t>S</w:t>
      </w:r>
      <w:r w:rsidR="00B50D0D">
        <w:rPr>
          <w:vertAlign w:val="subscript"/>
        </w:rPr>
        <w:t>3</w:t>
      </w:r>
      <w:r w:rsidR="00B50D0D">
        <w:t>I</w:t>
      </w:r>
      <w:r w:rsidR="00B50D0D">
        <w:rPr>
          <w:vertAlign w:val="subscript"/>
        </w:rPr>
        <w:t>34</w:t>
      </w:r>
      <w:r w:rsidR="00B50D0D">
        <w:t>.</w:t>
      </w:r>
    </w:p>
    <w:p w14:paraId="508A7337" w14:textId="6A72D8D3" w:rsidR="00E415F6" w:rsidRDefault="00E415F6" w:rsidP="00CC1D70">
      <w:pPr>
        <w:pStyle w:val="NoSpacing"/>
      </w:pPr>
    </w:p>
    <w:p w14:paraId="52F4FA4E" w14:textId="198C6DEA" w:rsidR="00E415F6" w:rsidRDefault="004466CC" w:rsidP="00CC1D70">
      <w:pPr>
        <w:pStyle w:val="NoSpacing"/>
      </w:pPr>
      <w:r w:rsidRPr="004466CC">
        <w:rPr>
          <w:position w:val="-108"/>
        </w:rPr>
        <w:object w:dxaOrig="10420" w:dyaOrig="2180" w14:anchorId="55D893BE">
          <v:shape id="_x0000_i1047" type="#_x0000_t75" style="width:453.5pt;height:98pt" o:ole="">
            <v:imagedata r:id="rId48" o:title=""/>
          </v:shape>
          <o:OLEObject Type="Embed" ProgID="Equation.DSMT4" ShapeID="_x0000_i1047" DrawAspect="Content" ObjectID="_1799843158" r:id="rId49"/>
        </w:object>
      </w:r>
    </w:p>
    <w:p w14:paraId="4343A98E" w14:textId="134B4C55" w:rsidR="00B50D0D" w:rsidRDefault="00B50D0D" w:rsidP="00CC1D70">
      <w:pPr>
        <w:pStyle w:val="NoSpacing"/>
      </w:pPr>
    </w:p>
    <w:p w14:paraId="60F7C4A8" w14:textId="1FE1B12B" w:rsidR="00B50D0D" w:rsidRPr="00402185" w:rsidRDefault="00B50D0D" w:rsidP="00CC1D70">
      <w:pPr>
        <w:pStyle w:val="NoSpacing"/>
      </w:pPr>
      <w:r>
        <w:t xml:space="preserve">which is equivalent to what I had before.  </w:t>
      </w:r>
      <w:r w:rsidR="00402185">
        <w:t>But ostensibly it would seem that we must be missing terms ultimately 2</w:t>
      </w:r>
      <w:r w:rsidR="00402185" w:rsidRPr="00402185">
        <w:rPr>
          <w:vertAlign w:val="superscript"/>
        </w:rPr>
        <w:t>nd</w:t>
      </w:r>
      <w:r w:rsidR="00402185">
        <w:t xml:space="preserve"> order in the differences, and so not getting the entire S</w:t>
      </w:r>
      <w:r w:rsidR="00402185">
        <w:rPr>
          <w:vertAlign w:val="subscript"/>
        </w:rPr>
        <w:t>int</w:t>
      </w:r>
      <w:r w:rsidR="00402185">
        <w:t xml:space="preserve">.  Nonetheless this is the correct </w:t>
      </w:r>
      <w:r w:rsidR="00402185">
        <w:lastRenderedPageBreak/>
        <w:t xml:space="preserve">expression as can see from entropy balance on closed system.  I think that the moral of the story is we really should be applying this formalism to strictly continuous systems, for which we can take the properties on either side of the boundary to be identical up to an infinitesimal error.  </w:t>
      </w:r>
    </w:p>
    <w:p w14:paraId="20A17CD9" w14:textId="0716A300" w:rsidR="00CC1D70" w:rsidRDefault="00CC1D70" w:rsidP="000816D3">
      <w:pPr>
        <w:pStyle w:val="NoSpacing"/>
      </w:pPr>
    </w:p>
    <w:p w14:paraId="5BC29C29" w14:textId="7AE26993" w:rsidR="001C5D23" w:rsidRPr="005F592A" w:rsidRDefault="001C5D23" w:rsidP="001C5D23">
      <w:pPr>
        <w:pStyle w:val="NoSpacing"/>
        <w:rPr>
          <w:b/>
          <w:sz w:val="24"/>
        </w:rPr>
      </w:pPr>
      <w:r w:rsidRPr="009310D5">
        <w:rPr>
          <w:b/>
          <w:sz w:val="28"/>
          <w:szCs w:val="24"/>
        </w:rPr>
        <w:t xml:space="preserve">Heat Conduction and Angular Momentum </w:t>
      </w:r>
      <w:r w:rsidR="00E6462B" w:rsidRPr="009310D5">
        <w:rPr>
          <w:b/>
          <w:sz w:val="28"/>
          <w:szCs w:val="24"/>
        </w:rPr>
        <w:t>‘Conduction’</w:t>
      </w:r>
    </w:p>
    <w:p w14:paraId="53EDBF0A" w14:textId="2582C5A0" w:rsidR="001C5D23" w:rsidRDefault="001C5D23" w:rsidP="001C5D23">
      <w:pPr>
        <w:pStyle w:val="NoSpacing"/>
      </w:pPr>
      <w:r>
        <w:t xml:space="preserve">Now suppose we have two containers at initial temperatures, </w:t>
      </w:r>
      <w:r w:rsidR="00AB237D">
        <w:t>and mean angular velocities</w:t>
      </w:r>
      <w:r>
        <w:t>: T</w:t>
      </w:r>
      <w:r>
        <w:rPr>
          <w:vertAlign w:val="subscript"/>
        </w:rPr>
        <w:t>1</w:t>
      </w:r>
      <w:r>
        <w:t xml:space="preserve">, </w:t>
      </w:r>
      <w:r w:rsidR="00AB237D">
        <w:rPr>
          <w:rFonts w:ascii="Calibri" w:hAnsi="Calibri" w:cs="Calibri"/>
        </w:rPr>
        <w:t>ω</w:t>
      </w:r>
      <w:r>
        <w:rPr>
          <w:vertAlign w:val="subscript"/>
        </w:rPr>
        <w:t>1</w:t>
      </w:r>
      <w:r>
        <w:t xml:space="preserve"> and T</w:t>
      </w:r>
      <w:r>
        <w:rPr>
          <w:vertAlign w:val="subscript"/>
        </w:rPr>
        <w:t>2</w:t>
      </w:r>
      <w:r>
        <w:t xml:space="preserve">, </w:t>
      </w:r>
      <w:r w:rsidR="00AB237D">
        <w:rPr>
          <w:rFonts w:ascii="Calibri" w:hAnsi="Calibri" w:cs="Calibri"/>
        </w:rPr>
        <w:t>ω</w:t>
      </w:r>
      <w:r>
        <w:rPr>
          <w:vertAlign w:val="subscript"/>
        </w:rPr>
        <w:t>2</w:t>
      </w:r>
      <w:r>
        <w:t>.  And we suppose conduction to occur</w:t>
      </w:r>
      <w:r w:rsidR="00A81D7E">
        <w:t xml:space="preserve">, but no particle diffusion, while we suppose that angular momentum can diffuse from one compartment to the other.  This can happen if the two do have some interaction at the border.  </w:t>
      </w:r>
      <w:r>
        <w:t>How will these occur?</w:t>
      </w:r>
      <w:r w:rsidR="00412C4F">
        <w:t xml:space="preserve">  </w:t>
      </w:r>
    </w:p>
    <w:p w14:paraId="35C4E42F" w14:textId="77777777" w:rsidR="00AB237D" w:rsidRDefault="00AB237D" w:rsidP="001C5D23">
      <w:pPr>
        <w:pStyle w:val="NoSpacing"/>
      </w:pPr>
    </w:p>
    <w:p w14:paraId="7D4A7ED9" w14:textId="6DFD19F4" w:rsidR="001C5D23" w:rsidRDefault="00AB237D" w:rsidP="001C5D23">
      <w:pPr>
        <w:pStyle w:val="NoSpacing"/>
      </w:pPr>
      <w:r>
        <w:object w:dxaOrig="4259" w:dyaOrig="3600" w14:anchorId="2B9AB504">
          <v:shape id="_x0000_i1048" type="#_x0000_t75" style="width:114pt;height:78pt" o:ole="">
            <v:imagedata r:id="rId50" o:title="" croptop="12015f" cropbottom="25559f" cropleft="9369f" cropright="20077f"/>
          </v:shape>
          <o:OLEObject Type="Embed" ProgID="PBrush" ShapeID="_x0000_i1048" DrawAspect="Content" ObjectID="_1799843159" r:id="rId51"/>
        </w:object>
      </w:r>
    </w:p>
    <w:p w14:paraId="21D984F4" w14:textId="30CE39EA" w:rsidR="00C94540" w:rsidRDefault="00C94540" w:rsidP="001C5D23">
      <w:pPr>
        <w:pStyle w:val="NoSpacing"/>
      </w:pPr>
    </w:p>
    <w:p w14:paraId="7290A577" w14:textId="2FBD935B" w:rsidR="00C94540" w:rsidRDefault="00C94540" w:rsidP="001C5D23">
      <w:pPr>
        <w:pStyle w:val="NoSpacing"/>
      </w:pPr>
      <w:r>
        <w:t>Our balance equations would be:</w:t>
      </w:r>
    </w:p>
    <w:p w14:paraId="2DF15839" w14:textId="5A68872B" w:rsidR="001C5D23" w:rsidRDefault="001C5D23" w:rsidP="001C5D23">
      <w:pPr>
        <w:pStyle w:val="NoSpacing"/>
      </w:pPr>
    </w:p>
    <w:p w14:paraId="1B0C3147" w14:textId="5A63FC25" w:rsidR="00C94540" w:rsidRDefault="00C94540" w:rsidP="00C94540">
      <w:pPr>
        <w:pStyle w:val="NoSpacing"/>
      </w:pPr>
      <w:r w:rsidRPr="00E83E82">
        <w:rPr>
          <w:position w:val="-58"/>
        </w:rPr>
        <w:object w:dxaOrig="1800" w:dyaOrig="1280" w14:anchorId="215D0374">
          <v:shape id="_x0000_i1049" type="#_x0000_t75" style="width:90pt;height:66pt" o:ole="">
            <v:imagedata r:id="rId52" o:title=""/>
          </v:shape>
          <o:OLEObject Type="Embed" ProgID="Equation.DSMT4" ShapeID="_x0000_i1049" DrawAspect="Content" ObjectID="_1799843160" r:id="rId53"/>
        </w:object>
      </w:r>
      <w:r>
        <w:tab/>
      </w:r>
      <w:r>
        <w:tab/>
      </w:r>
      <w:r>
        <w:tab/>
      </w:r>
      <w:r w:rsidRPr="00E83E82">
        <w:rPr>
          <w:position w:val="-58"/>
        </w:rPr>
        <w:object w:dxaOrig="2880" w:dyaOrig="1280" w14:anchorId="085A2D25">
          <v:shape id="_x0000_i1050" type="#_x0000_t75" style="width:140.5pt;height:66pt" o:ole="">
            <v:imagedata r:id="rId54" o:title=""/>
          </v:shape>
          <o:OLEObject Type="Embed" ProgID="Equation.DSMT4" ShapeID="_x0000_i1050" DrawAspect="Content" ObjectID="_1799843161" r:id="rId55"/>
        </w:object>
      </w:r>
    </w:p>
    <w:p w14:paraId="3DCB1FA0" w14:textId="77777777" w:rsidR="00C94540" w:rsidRDefault="00C94540" w:rsidP="00C94540">
      <w:pPr>
        <w:pStyle w:val="NoSpacing"/>
      </w:pPr>
    </w:p>
    <w:p w14:paraId="078852D5" w14:textId="2217176D" w:rsidR="00C94540" w:rsidRDefault="00C94540" w:rsidP="00C94540">
      <w:pPr>
        <w:pStyle w:val="NoSpacing"/>
      </w:pPr>
      <w:r>
        <w:t>I think.  So we know that angular momentum transfer is equal and opposite, and so the effective ‘torque’ is as well.  And so is overall energy transfer.  But this would mean that the rate of mechanical energy transfer and heat energy transfer are not themselves</w:t>
      </w:r>
      <w:r w:rsidR="0042060F">
        <w:t xml:space="preserve"> separately</w:t>
      </w:r>
      <w:r>
        <w:t xml:space="preserve"> equal and opposite.  Filling in</w:t>
      </w:r>
      <w:r w:rsidR="0042060F">
        <w:t>to the entropy balance,</w:t>
      </w:r>
    </w:p>
    <w:p w14:paraId="6AEA7202" w14:textId="77777777" w:rsidR="0042060F" w:rsidRDefault="0042060F" w:rsidP="00C94540">
      <w:pPr>
        <w:pStyle w:val="NoSpacing"/>
      </w:pPr>
    </w:p>
    <w:p w14:paraId="13DE6C61" w14:textId="017C6F09" w:rsidR="00C94540" w:rsidRPr="00A47C82" w:rsidRDefault="000A5CAF" w:rsidP="00C94540">
      <w:pPr>
        <w:pStyle w:val="NoSpacing"/>
      </w:pPr>
      <w:r w:rsidRPr="00BE2C7A">
        <w:rPr>
          <w:position w:val="-180"/>
        </w:rPr>
        <w:object w:dxaOrig="5580" w:dyaOrig="3480" w14:anchorId="06829A2B">
          <v:shape id="_x0000_i1051" type="#_x0000_t75" style="width:279.5pt;height:174pt" o:ole="">
            <v:imagedata r:id="rId56" o:title=""/>
          </v:shape>
          <o:OLEObject Type="Embed" ProgID="Equation.DSMT4" ShapeID="_x0000_i1051" DrawAspect="Content" ObjectID="_1799843162" r:id="rId57"/>
        </w:object>
      </w:r>
      <w:r w:rsidR="00C94540">
        <w:t xml:space="preserve"> </w:t>
      </w:r>
    </w:p>
    <w:p w14:paraId="56F08527" w14:textId="77777777" w:rsidR="00C94540" w:rsidRDefault="00C94540" w:rsidP="00C94540">
      <w:pPr>
        <w:pStyle w:val="NoSpacing"/>
      </w:pPr>
    </w:p>
    <w:p w14:paraId="643100AF" w14:textId="481EC605" w:rsidR="00C94540" w:rsidRPr="000371DD" w:rsidRDefault="000A5CAF" w:rsidP="00C94540">
      <w:pPr>
        <w:pStyle w:val="NoSpacing"/>
      </w:pPr>
      <w:r>
        <w:t>Writing</w:t>
      </w:r>
      <w:r w:rsidR="00C94540">
        <w:t xml:space="preserve"> T</w:t>
      </w:r>
      <w:r w:rsidR="00C94540">
        <w:rPr>
          <w:vertAlign w:val="subscript"/>
        </w:rPr>
        <w:t>2</w:t>
      </w:r>
      <w:r w:rsidR="00C94540">
        <w:t xml:space="preserve"> = T</w:t>
      </w:r>
      <w:r w:rsidR="00C94540">
        <w:rPr>
          <w:vertAlign w:val="subscript"/>
        </w:rPr>
        <w:t>1</w:t>
      </w:r>
      <w:r w:rsidR="00C94540">
        <w:t xml:space="preserve">  + </w:t>
      </w:r>
      <w:r w:rsidR="00C94540">
        <w:rPr>
          <w:rFonts w:ascii="Calibri" w:hAnsi="Calibri"/>
        </w:rPr>
        <w:t>Δ</w:t>
      </w:r>
      <w:r w:rsidR="00C94540">
        <w:t xml:space="preserve">T, and </w:t>
      </w:r>
      <w:r w:rsidR="00C94540">
        <w:rPr>
          <w:rFonts w:ascii="Calibri" w:hAnsi="Calibri" w:cs="Calibri"/>
        </w:rPr>
        <w:t>ω</w:t>
      </w:r>
      <w:r w:rsidR="00C94540">
        <w:rPr>
          <w:vertAlign w:val="subscript"/>
        </w:rPr>
        <w:t>2</w:t>
      </w:r>
      <w:r w:rsidR="00C94540">
        <w:t xml:space="preserve"> = </w:t>
      </w:r>
      <w:r w:rsidR="00C94540">
        <w:rPr>
          <w:rFonts w:ascii="Calibri" w:hAnsi="Calibri" w:cs="Calibri"/>
        </w:rPr>
        <w:t>ω</w:t>
      </w:r>
      <w:r w:rsidR="00C94540">
        <w:rPr>
          <w:vertAlign w:val="subscript"/>
        </w:rPr>
        <w:t>1</w:t>
      </w:r>
      <w:r w:rsidR="00C94540">
        <w:t xml:space="preserve"> + </w:t>
      </w:r>
      <w:r w:rsidR="00C94540">
        <w:rPr>
          <w:rFonts w:ascii="Calibri" w:hAnsi="Calibri"/>
        </w:rPr>
        <w:t>Δ</w:t>
      </w:r>
      <w:r w:rsidR="00C94540">
        <w:rPr>
          <w:rFonts w:ascii="Calibri" w:hAnsi="Calibri" w:cs="Calibri"/>
        </w:rPr>
        <w:t>ω</w:t>
      </w:r>
      <w:r>
        <w:t>, this comes to, to first order in the differences,</w:t>
      </w:r>
    </w:p>
    <w:p w14:paraId="46F41968" w14:textId="77777777" w:rsidR="00C94540" w:rsidRDefault="00C94540" w:rsidP="00C94540">
      <w:pPr>
        <w:pStyle w:val="NoSpacing"/>
      </w:pPr>
    </w:p>
    <w:p w14:paraId="1D7F90D6" w14:textId="666EFC4B" w:rsidR="00C94540" w:rsidRDefault="000A5CAF" w:rsidP="00C94540">
      <w:pPr>
        <w:pStyle w:val="NoSpacing"/>
      </w:pPr>
      <w:r w:rsidRPr="000A5CAF">
        <w:rPr>
          <w:position w:val="-68"/>
        </w:rPr>
        <w:object w:dxaOrig="3400" w:dyaOrig="1480" w14:anchorId="5B612029">
          <v:shape id="_x0000_i1052" type="#_x0000_t75" style="width:168pt;height:78.5pt" o:ole="">
            <v:imagedata r:id="rId58" o:title=""/>
          </v:shape>
          <o:OLEObject Type="Embed" ProgID="Equation.DSMT4" ShapeID="_x0000_i1052" DrawAspect="Content" ObjectID="_1799843163" r:id="rId59"/>
        </w:object>
      </w:r>
    </w:p>
    <w:p w14:paraId="41E4245B" w14:textId="77777777" w:rsidR="00C94540" w:rsidRDefault="00C94540" w:rsidP="00C94540">
      <w:pPr>
        <w:pStyle w:val="NoSpacing"/>
      </w:pPr>
    </w:p>
    <w:p w14:paraId="68537CE4" w14:textId="0CFE850E" w:rsidR="00C94540" w:rsidRDefault="00C94540" w:rsidP="00C94540">
      <w:pPr>
        <w:pStyle w:val="NoSpacing"/>
      </w:pPr>
      <w:r>
        <w:t>Then Onsager’s theorem is that the current is proportional to the force, but the currents can be proportional to cross forces too.  So we may have</w:t>
      </w:r>
      <w:r w:rsidR="00894676">
        <w:t xml:space="preserve"> (replacing usual L</w:t>
      </w:r>
      <w:r w:rsidR="00894676">
        <w:rPr>
          <w:rFonts w:ascii="Calibri" w:hAnsi="Calibri" w:cs="Calibri"/>
          <w:vertAlign w:val="subscript"/>
        </w:rPr>
        <w:t>αβ</w:t>
      </w:r>
      <w:r w:rsidR="00894676">
        <w:t xml:space="preserve"> </w:t>
      </w:r>
      <w:r w:rsidR="00412C4F">
        <w:t xml:space="preserve">coefficients </w:t>
      </w:r>
      <w:r w:rsidR="00894676">
        <w:t>with k</w:t>
      </w:r>
      <w:r w:rsidR="00894676">
        <w:rPr>
          <w:rFonts w:ascii="Calibri" w:hAnsi="Calibri" w:cs="Calibri"/>
          <w:vertAlign w:val="subscript"/>
        </w:rPr>
        <w:t>αβ</w:t>
      </w:r>
      <w:r w:rsidR="00894676">
        <w:t>)</w:t>
      </w:r>
      <w:r>
        <w:t xml:space="preserve">: </w:t>
      </w:r>
    </w:p>
    <w:p w14:paraId="65EB1BC1" w14:textId="77777777" w:rsidR="00C94540" w:rsidRDefault="00C94540" w:rsidP="00C94540">
      <w:pPr>
        <w:pStyle w:val="NoSpacing"/>
      </w:pPr>
    </w:p>
    <w:p w14:paraId="0794AEA8" w14:textId="29E93604" w:rsidR="00C94540" w:rsidRDefault="007C1136" w:rsidP="00C94540">
      <w:pPr>
        <w:pStyle w:val="NoSpacing"/>
      </w:pPr>
      <w:r w:rsidRPr="007C1136">
        <w:rPr>
          <w:position w:val="-64"/>
        </w:rPr>
        <w:object w:dxaOrig="2260" w:dyaOrig="1400" w14:anchorId="381BBC1B">
          <v:shape id="_x0000_i1053" type="#_x0000_t75" style="width:114pt;height:70.5pt" o:ole="">
            <v:imagedata r:id="rId60" o:title=""/>
          </v:shape>
          <o:OLEObject Type="Embed" ProgID="Equation.DSMT4" ShapeID="_x0000_i1053" DrawAspect="Content" ObjectID="_1799843164" r:id="rId61"/>
        </w:object>
      </w:r>
    </w:p>
    <w:p w14:paraId="056D6CBC" w14:textId="51F12297" w:rsidR="000A5CAF" w:rsidRDefault="000A5CAF" w:rsidP="00C94540">
      <w:pPr>
        <w:pStyle w:val="NoSpacing"/>
      </w:pPr>
    </w:p>
    <w:p w14:paraId="7182B325" w14:textId="24E44439" w:rsidR="008F29A7" w:rsidRDefault="000A5CAF" w:rsidP="00C94540">
      <w:pPr>
        <w:pStyle w:val="NoSpacing"/>
      </w:pPr>
      <w:r>
        <w:t xml:space="preserve">I would have a hard time imagining the off-diagonal terms are non-zero though.  </w:t>
      </w:r>
      <w:r w:rsidR="008F29A7">
        <w:t>If we fill these, diagonal terms, say, back into the balances, we’d have:</w:t>
      </w:r>
    </w:p>
    <w:p w14:paraId="24D4D30D" w14:textId="77777777" w:rsidR="002453BE" w:rsidRDefault="002453BE" w:rsidP="002453BE">
      <w:pPr>
        <w:pStyle w:val="NoSpacing"/>
      </w:pPr>
    </w:p>
    <w:p w14:paraId="13B16A46" w14:textId="6AB1CF18" w:rsidR="002453BE" w:rsidRDefault="00F81ACB" w:rsidP="002453BE">
      <w:pPr>
        <w:pStyle w:val="NoSpacing"/>
      </w:pPr>
      <w:r w:rsidRPr="00F81ACB">
        <w:rPr>
          <w:position w:val="-64"/>
        </w:rPr>
        <w:object w:dxaOrig="7680" w:dyaOrig="1400" w14:anchorId="2772C897">
          <v:shape id="_x0000_i1054" type="#_x0000_t75" style="width:383.5pt;height:1in" o:ole="">
            <v:imagedata r:id="rId62" o:title=""/>
          </v:shape>
          <o:OLEObject Type="Embed" ProgID="Equation.DSMT4" ShapeID="_x0000_i1054" DrawAspect="Content" ObjectID="_1799843165" r:id="rId63"/>
        </w:object>
      </w:r>
      <w:r w:rsidR="002453BE">
        <w:tab/>
      </w:r>
      <w:r w:rsidR="002453BE">
        <w:tab/>
      </w:r>
      <w:r w:rsidR="002453BE">
        <w:tab/>
      </w:r>
    </w:p>
    <w:p w14:paraId="1846BD06" w14:textId="77777777" w:rsidR="002453BE" w:rsidRDefault="002453BE" w:rsidP="002453BE">
      <w:pPr>
        <w:pStyle w:val="NoSpacing"/>
      </w:pPr>
    </w:p>
    <w:p w14:paraId="3E81D200" w14:textId="06AEFFAB" w:rsidR="00894676" w:rsidRDefault="006A0883" w:rsidP="00C94540">
      <w:pPr>
        <w:pStyle w:val="NoSpacing"/>
      </w:pPr>
      <w:r>
        <w:t xml:space="preserve">Don’t really want to solve these.  But suffice to say that when U and L are no longer changing, we must have </w:t>
      </w:r>
      <w:r>
        <w:rPr>
          <w:rFonts w:ascii="Calibri" w:hAnsi="Calibri" w:cs="Calibri"/>
        </w:rPr>
        <w:t>Δ</w:t>
      </w:r>
      <w:r>
        <w:t xml:space="preserve">T = </w:t>
      </w:r>
      <w:r>
        <w:rPr>
          <w:rFonts w:ascii="Calibri" w:hAnsi="Calibri" w:cs="Calibri"/>
        </w:rPr>
        <w:t>Δω</w:t>
      </w:r>
      <w:r>
        <w:t xml:space="preserve"> = 0, which is reassuring</w:t>
      </w:r>
      <w:r w:rsidR="00412C4F">
        <w:t>, as that is what we expect on the basis of normal thermodynamics</w:t>
      </w:r>
      <w:r>
        <w:t>.</w:t>
      </w:r>
      <w:r w:rsidR="00412C4F">
        <w:t xml:space="preserve"> </w:t>
      </w:r>
      <w:r>
        <w:t xml:space="preserve"> </w:t>
      </w:r>
      <w:r w:rsidR="00A802DE">
        <w:t xml:space="preserve">A similar analysis should apply to translational momentum ‘collisions’.  </w:t>
      </w:r>
    </w:p>
    <w:p w14:paraId="421371C9" w14:textId="77777777" w:rsidR="001C5D23" w:rsidRDefault="001C5D23" w:rsidP="001C5D23">
      <w:pPr>
        <w:pStyle w:val="NoSpacing"/>
      </w:pPr>
    </w:p>
    <w:p w14:paraId="54FDBCB0" w14:textId="026DAB7E" w:rsidR="001C5D23" w:rsidRPr="00D44CB2" w:rsidRDefault="001C5D23" w:rsidP="001C5D23">
      <w:pPr>
        <w:pStyle w:val="NoSpacing"/>
        <w:rPr>
          <w:b/>
          <w:szCs w:val="20"/>
        </w:rPr>
      </w:pPr>
      <w:r w:rsidRPr="00D44CB2">
        <w:rPr>
          <w:b/>
          <w:szCs w:val="20"/>
        </w:rPr>
        <w:t xml:space="preserve">Heat Conduction and Angular Momentum </w:t>
      </w:r>
      <w:r w:rsidR="009708CD" w:rsidRPr="00D44CB2">
        <w:rPr>
          <w:b/>
          <w:szCs w:val="20"/>
        </w:rPr>
        <w:t>Conduction</w:t>
      </w:r>
      <w:r w:rsidRPr="00D44CB2">
        <w:rPr>
          <w:b/>
          <w:szCs w:val="20"/>
        </w:rPr>
        <w:t xml:space="preserve"> with open border</w:t>
      </w:r>
    </w:p>
    <w:p w14:paraId="253C9763" w14:textId="7F3C3004" w:rsidR="001C5D23" w:rsidRPr="00E7467E" w:rsidRDefault="00DD421C" w:rsidP="001C5D23">
      <w:pPr>
        <w:pStyle w:val="NoSpacing"/>
      </w:pPr>
      <w:r>
        <w:t>Now I want to do an open border calculation</w:t>
      </w:r>
      <w:r w:rsidR="008E390C">
        <w:t xml:space="preserve"> – meaning we can have angular momentum conduction through the ends of the border.  Still not presuming particle flow though.  So,</w:t>
      </w:r>
    </w:p>
    <w:p w14:paraId="499EF320" w14:textId="40D99379" w:rsidR="00DD421C" w:rsidRDefault="00DD421C" w:rsidP="001C5D23">
      <w:pPr>
        <w:pStyle w:val="NoSpacing"/>
      </w:pPr>
    </w:p>
    <w:p w14:paraId="2E39B56D" w14:textId="3FF1371F" w:rsidR="001C5D23" w:rsidRDefault="008E390C" w:rsidP="001C5D23">
      <w:pPr>
        <w:pStyle w:val="NoSpacing"/>
      </w:pPr>
      <w:r>
        <w:object w:dxaOrig="7681" w:dyaOrig="3600" w14:anchorId="29A2E997">
          <v:shape id="_x0000_i1055" type="#_x0000_t75" style="width:240pt;height:84pt" o:ole="">
            <v:imagedata r:id="rId64" o:title="" croptop="12015f" cropbottom="22719f" cropleft="7107f" cropright="17121f"/>
          </v:shape>
          <o:OLEObject Type="Embed" ProgID="PBrush" ShapeID="_x0000_i1055" DrawAspect="Content" ObjectID="_1799843166" r:id="rId65"/>
        </w:object>
      </w:r>
    </w:p>
    <w:p w14:paraId="76F1F022" w14:textId="77777777" w:rsidR="001C5D23" w:rsidRDefault="001C5D23" w:rsidP="001C5D23">
      <w:pPr>
        <w:pStyle w:val="NoSpacing"/>
      </w:pPr>
    </w:p>
    <w:p w14:paraId="3A964AE1" w14:textId="77777777" w:rsidR="001C5D23" w:rsidRDefault="001C5D23" w:rsidP="001C5D23">
      <w:pPr>
        <w:pStyle w:val="NoSpacing"/>
      </w:pPr>
      <w:r>
        <w:t>The balance equations would be:</w:t>
      </w:r>
    </w:p>
    <w:p w14:paraId="32C35D66" w14:textId="77777777" w:rsidR="001C5D23" w:rsidRDefault="001C5D23" w:rsidP="001C5D23">
      <w:pPr>
        <w:pStyle w:val="NoSpacing"/>
      </w:pPr>
    </w:p>
    <w:p w14:paraId="0BE2ECB9" w14:textId="4AAA5C72" w:rsidR="001C5D23" w:rsidRDefault="00412C4F" w:rsidP="001C5D23">
      <w:pPr>
        <w:pStyle w:val="NoSpacing"/>
      </w:pPr>
      <w:r w:rsidRPr="0049346F">
        <w:rPr>
          <w:position w:val="-58"/>
        </w:rPr>
        <w:object w:dxaOrig="7500" w:dyaOrig="1280" w14:anchorId="69E81DE5">
          <v:shape id="_x0000_i1056" type="#_x0000_t75" style="width:372.5pt;height:66pt" o:ole="">
            <v:imagedata r:id="rId66" o:title=""/>
          </v:shape>
          <o:OLEObject Type="Embed" ProgID="Equation.DSMT4" ShapeID="_x0000_i1056" DrawAspect="Content" ObjectID="_1799843167" r:id="rId67"/>
        </w:object>
      </w:r>
    </w:p>
    <w:p w14:paraId="1BA02071" w14:textId="77777777" w:rsidR="001C5D23" w:rsidRDefault="001C5D23" w:rsidP="001C5D23">
      <w:pPr>
        <w:pStyle w:val="NoSpacing"/>
      </w:pPr>
    </w:p>
    <w:p w14:paraId="69096178" w14:textId="77777777" w:rsidR="001C5D23" w:rsidRDefault="001C5D23" w:rsidP="001C5D23">
      <w:pPr>
        <w:pStyle w:val="NoSpacing"/>
      </w:pPr>
      <w:r>
        <w:t>And then the entropy balance would look like…note, again there is no convective particle current entropy so those terms are zero – but we do have diffusive entropy current.</w:t>
      </w:r>
    </w:p>
    <w:p w14:paraId="27ED314E" w14:textId="77777777" w:rsidR="001C5D23" w:rsidRDefault="001C5D23" w:rsidP="001C5D23">
      <w:pPr>
        <w:pStyle w:val="NoSpacing"/>
      </w:pPr>
    </w:p>
    <w:p w14:paraId="518948B7" w14:textId="1DA10B28" w:rsidR="001C5D23" w:rsidRDefault="00C94540" w:rsidP="001C5D23">
      <w:pPr>
        <w:pStyle w:val="NoSpacing"/>
      </w:pPr>
      <w:r w:rsidRPr="00C94540">
        <w:rPr>
          <w:position w:val="-180"/>
        </w:rPr>
        <w:object w:dxaOrig="10980" w:dyaOrig="3720" w14:anchorId="08CFC472">
          <v:shape id="_x0000_i1057" type="#_x0000_t75" style="width:7in;height:176.5pt" o:ole="">
            <v:imagedata r:id="rId68" o:title=""/>
          </v:shape>
          <o:OLEObject Type="Embed" ProgID="Equation.DSMT4" ShapeID="_x0000_i1057" DrawAspect="Content" ObjectID="_1799843168" r:id="rId69"/>
        </w:object>
      </w:r>
    </w:p>
    <w:p w14:paraId="4E0444B9" w14:textId="77777777" w:rsidR="001C5D23" w:rsidRDefault="001C5D23" w:rsidP="001C5D23">
      <w:pPr>
        <w:pStyle w:val="NoSpacing"/>
      </w:pPr>
    </w:p>
    <w:p w14:paraId="0788BDC9" w14:textId="1CD2602C" w:rsidR="001C5D23" w:rsidRDefault="001C5D23" w:rsidP="00DF1BDD">
      <w:pPr>
        <w:pStyle w:val="NoSpacing"/>
      </w:pPr>
      <w:r>
        <w:t xml:space="preserve">This is same as we got before in the closed system.  </w:t>
      </w:r>
    </w:p>
    <w:p w14:paraId="754322CB" w14:textId="77777777" w:rsidR="001C5D23" w:rsidRDefault="001C5D23" w:rsidP="00FF4B34">
      <w:pPr>
        <w:pStyle w:val="NoSpacing"/>
      </w:pPr>
    </w:p>
    <w:p w14:paraId="22FA82F5" w14:textId="52F4D733" w:rsidR="00904876" w:rsidRDefault="00904876" w:rsidP="00FF4B34">
      <w:pPr>
        <w:pStyle w:val="NoSpacing"/>
      </w:pPr>
    </w:p>
    <w:sectPr w:rsidR="00904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7"/>
    <w:rsid w:val="00010342"/>
    <w:rsid w:val="00011320"/>
    <w:rsid w:val="000125A6"/>
    <w:rsid w:val="000142FA"/>
    <w:rsid w:val="00014590"/>
    <w:rsid w:val="000160BF"/>
    <w:rsid w:val="00020178"/>
    <w:rsid w:val="00022E02"/>
    <w:rsid w:val="00032528"/>
    <w:rsid w:val="000371DD"/>
    <w:rsid w:val="00051D95"/>
    <w:rsid w:val="00053923"/>
    <w:rsid w:val="00054B64"/>
    <w:rsid w:val="00054B9F"/>
    <w:rsid w:val="00060EDE"/>
    <w:rsid w:val="0007492A"/>
    <w:rsid w:val="0007562E"/>
    <w:rsid w:val="00080C28"/>
    <w:rsid w:val="0008114E"/>
    <w:rsid w:val="0008131C"/>
    <w:rsid w:val="000816D3"/>
    <w:rsid w:val="00081D96"/>
    <w:rsid w:val="000850A3"/>
    <w:rsid w:val="000851E7"/>
    <w:rsid w:val="0008624B"/>
    <w:rsid w:val="000A2273"/>
    <w:rsid w:val="000A450F"/>
    <w:rsid w:val="000A5CAF"/>
    <w:rsid w:val="000A648E"/>
    <w:rsid w:val="000B76EF"/>
    <w:rsid w:val="000B7C3C"/>
    <w:rsid w:val="000B7CBA"/>
    <w:rsid w:val="000C5E4E"/>
    <w:rsid w:val="000D0622"/>
    <w:rsid w:val="000D2BAA"/>
    <w:rsid w:val="000D658E"/>
    <w:rsid w:val="000D6CC3"/>
    <w:rsid w:val="000E4CD9"/>
    <w:rsid w:val="000E57D6"/>
    <w:rsid w:val="000F5385"/>
    <w:rsid w:val="000F6CCC"/>
    <w:rsid w:val="00100CC3"/>
    <w:rsid w:val="00100E38"/>
    <w:rsid w:val="001027CF"/>
    <w:rsid w:val="00106007"/>
    <w:rsid w:val="00106C8B"/>
    <w:rsid w:val="00106E40"/>
    <w:rsid w:val="00115639"/>
    <w:rsid w:val="001161BF"/>
    <w:rsid w:val="00120E45"/>
    <w:rsid w:val="0012217C"/>
    <w:rsid w:val="00122206"/>
    <w:rsid w:val="00123CFF"/>
    <w:rsid w:val="00143952"/>
    <w:rsid w:val="001468E6"/>
    <w:rsid w:val="0015356E"/>
    <w:rsid w:val="0016080D"/>
    <w:rsid w:val="00163574"/>
    <w:rsid w:val="00165524"/>
    <w:rsid w:val="001672A2"/>
    <w:rsid w:val="001714BC"/>
    <w:rsid w:val="00180A99"/>
    <w:rsid w:val="00182802"/>
    <w:rsid w:val="00187669"/>
    <w:rsid w:val="001A746E"/>
    <w:rsid w:val="001B7DA8"/>
    <w:rsid w:val="001C037D"/>
    <w:rsid w:val="001C25FF"/>
    <w:rsid w:val="001C5D23"/>
    <w:rsid w:val="001D02B2"/>
    <w:rsid w:val="001D5B3B"/>
    <w:rsid w:val="001D77F8"/>
    <w:rsid w:val="001E33C0"/>
    <w:rsid w:val="001E429F"/>
    <w:rsid w:val="001E55F3"/>
    <w:rsid w:val="001F15FF"/>
    <w:rsid w:val="001F4DF5"/>
    <w:rsid w:val="00201CCF"/>
    <w:rsid w:val="00202DFC"/>
    <w:rsid w:val="00203276"/>
    <w:rsid w:val="00207909"/>
    <w:rsid w:val="0021166E"/>
    <w:rsid w:val="00211C35"/>
    <w:rsid w:val="0021295D"/>
    <w:rsid w:val="00221198"/>
    <w:rsid w:val="0023304C"/>
    <w:rsid w:val="002453BE"/>
    <w:rsid w:val="00245F04"/>
    <w:rsid w:val="00250DAA"/>
    <w:rsid w:val="002617E9"/>
    <w:rsid w:val="002628AA"/>
    <w:rsid w:val="00270CF0"/>
    <w:rsid w:val="002770DB"/>
    <w:rsid w:val="00281C07"/>
    <w:rsid w:val="00286039"/>
    <w:rsid w:val="0029307E"/>
    <w:rsid w:val="002A4024"/>
    <w:rsid w:val="002A583A"/>
    <w:rsid w:val="002A6F32"/>
    <w:rsid w:val="002A72B4"/>
    <w:rsid w:val="002D066B"/>
    <w:rsid w:val="002D383E"/>
    <w:rsid w:val="002E0107"/>
    <w:rsid w:val="002E2270"/>
    <w:rsid w:val="002F295E"/>
    <w:rsid w:val="002F341A"/>
    <w:rsid w:val="002F6DCF"/>
    <w:rsid w:val="003005D5"/>
    <w:rsid w:val="0030186B"/>
    <w:rsid w:val="00310098"/>
    <w:rsid w:val="0031626D"/>
    <w:rsid w:val="003163D3"/>
    <w:rsid w:val="003169A4"/>
    <w:rsid w:val="003221FB"/>
    <w:rsid w:val="00323C83"/>
    <w:rsid w:val="00325DE9"/>
    <w:rsid w:val="0032634E"/>
    <w:rsid w:val="003336C4"/>
    <w:rsid w:val="00333FA0"/>
    <w:rsid w:val="00337DFA"/>
    <w:rsid w:val="00346DC5"/>
    <w:rsid w:val="00352EF5"/>
    <w:rsid w:val="00353E03"/>
    <w:rsid w:val="003565EB"/>
    <w:rsid w:val="003656EF"/>
    <w:rsid w:val="003665B7"/>
    <w:rsid w:val="003732D4"/>
    <w:rsid w:val="00377E98"/>
    <w:rsid w:val="003804A5"/>
    <w:rsid w:val="00381A8A"/>
    <w:rsid w:val="00386B38"/>
    <w:rsid w:val="00393869"/>
    <w:rsid w:val="003A2701"/>
    <w:rsid w:val="003A4200"/>
    <w:rsid w:val="003A5BC9"/>
    <w:rsid w:val="003B16D5"/>
    <w:rsid w:val="003B54E4"/>
    <w:rsid w:val="003B7E73"/>
    <w:rsid w:val="003C01BF"/>
    <w:rsid w:val="003C3496"/>
    <w:rsid w:val="003D1084"/>
    <w:rsid w:val="003D3F97"/>
    <w:rsid w:val="003D4ACE"/>
    <w:rsid w:val="003E0895"/>
    <w:rsid w:val="003E1364"/>
    <w:rsid w:val="003E4429"/>
    <w:rsid w:val="003F0471"/>
    <w:rsid w:val="0040087B"/>
    <w:rsid w:val="00402185"/>
    <w:rsid w:val="0040305D"/>
    <w:rsid w:val="004044B1"/>
    <w:rsid w:val="004129B2"/>
    <w:rsid w:val="00412C4F"/>
    <w:rsid w:val="004149B8"/>
    <w:rsid w:val="00415632"/>
    <w:rsid w:val="004200BE"/>
    <w:rsid w:val="0042060F"/>
    <w:rsid w:val="004214A3"/>
    <w:rsid w:val="00424B27"/>
    <w:rsid w:val="00424C2C"/>
    <w:rsid w:val="00425BE4"/>
    <w:rsid w:val="00436EBC"/>
    <w:rsid w:val="0044070E"/>
    <w:rsid w:val="00440858"/>
    <w:rsid w:val="00441D4B"/>
    <w:rsid w:val="004466CC"/>
    <w:rsid w:val="00453A5B"/>
    <w:rsid w:val="00453F95"/>
    <w:rsid w:val="004601B6"/>
    <w:rsid w:val="00471A1C"/>
    <w:rsid w:val="00475445"/>
    <w:rsid w:val="004829EA"/>
    <w:rsid w:val="004909E8"/>
    <w:rsid w:val="00491D42"/>
    <w:rsid w:val="00491F11"/>
    <w:rsid w:val="00494457"/>
    <w:rsid w:val="004A07F6"/>
    <w:rsid w:val="004A14B8"/>
    <w:rsid w:val="004A4B81"/>
    <w:rsid w:val="004A634B"/>
    <w:rsid w:val="004A6836"/>
    <w:rsid w:val="004A6D10"/>
    <w:rsid w:val="004B35B3"/>
    <w:rsid w:val="004B39B9"/>
    <w:rsid w:val="004B3F5C"/>
    <w:rsid w:val="004C216E"/>
    <w:rsid w:val="004C2733"/>
    <w:rsid w:val="004D3D2B"/>
    <w:rsid w:val="004D768F"/>
    <w:rsid w:val="004E0667"/>
    <w:rsid w:val="004E5CC7"/>
    <w:rsid w:val="004F64AB"/>
    <w:rsid w:val="00504439"/>
    <w:rsid w:val="00506272"/>
    <w:rsid w:val="00521357"/>
    <w:rsid w:val="00526A9A"/>
    <w:rsid w:val="0052700F"/>
    <w:rsid w:val="005438B8"/>
    <w:rsid w:val="00547774"/>
    <w:rsid w:val="00550CE4"/>
    <w:rsid w:val="005518B8"/>
    <w:rsid w:val="0055612D"/>
    <w:rsid w:val="00563F0A"/>
    <w:rsid w:val="00565027"/>
    <w:rsid w:val="005705D8"/>
    <w:rsid w:val="00571D6F"/>
    <w:rsid w:val="00580486"/>
    <w:rsid w:val="00581668"/>
    <w:rsid w:val="00590F1C"/>
    <w:rsid w:val="005910B4"/>
    <w:rsid w:val="0059228C"/>
    <w:rsid w:val="00594CD1"/>
    <w:rsid w:val="00597903"/>
    <w:rsid w:val="005A5843"/>
    <w:rsid w:val="005A7BB5"/>
    <w:rsid w:val="005B5BC4"/>
    <w:rsid w:val="005E542C"/>
    <w:rsid w:val="005E6217"/>
    <w:rsid w:val="005E783E"/>
    <w:rsid w:val="005F0CF3"/>
    <w:rsid w:val="005F592A"/>
    <w:rsid w:val="005F7C04"/>
    <w:rsid w:val="00602E52"/>
    <w:rsid w:val="00605F84"/>
    <w:rsid w:val="006063CA"/>
    <w:rsid w:val="00606D5F"/>
    <w:rsid w:val="00615C23"/>
    <w:rsid w:val="00617889"/>
    <w:rsid w:val="00621456"/>
    <w:rsid w:val="0062484C"/>
    <w:rsid w:val="00624D87"/>
    <w:rsid w:val="0063098B"/>
    <w:rsid w:val="0063637C"/>
    <w:rsid w:val="00644710"/>
    <w:rsid w:val="006479EB"/>
    <w:rsid w:val="0065220C"/>
    <w:rsid w:val="00653BC7"/>
    <w:rsid w:val="00653EFF"/>
    <w:rsid w:val="00660FA7"/>
    <w:rsid w:val="0066147C"/>
    <w:rsid w:val="00672D2B"/>
    <w:rsid w:val="00672D99"/>
    <w:rsid w:val="0067580A"/>
    <w:rsid w:val="006814AB"/>
    <w:rsid w:val="00682B7D"/>
    <w:rsid w:val="00687DEA"/>
    <w:rsid w:val="00691007"/>
    <w:rsid w:val="0069645F"/>
    <w:rsid w:val="00697A68"/>
    <w:rsid w:val="006A0883"/>
    <w:rsid w:val="006A4CB6"/>
    <w:rsid w:val="006B454E"/>
    <w:rsid w:val="006B58A6"/>
    <w:rsid w:val="006C519B"/>
    <w:rsid w:val="006D757C"/>
    <w:rsid w:val="006E52CC"/>
    <w:rsid w:val="006F573B"/>
    <w:rsid w:val="006F7162"/>
    <w:rsid w:val="006F79B1"/>
    <w:rsid w:val="007009F8"/>
    <w:rsid w:val="007104D7"/>
    <w:rsid w:val="00720B63"/>
    <w:rsid w:val="0073090C"/>
    <w:rsid w:val="0073478F"/>
    <w:rsid w:val="0074191F"/>
    <w:rsid w:val="00746414"/>
    <w:rsid w:val="00757697"/>
    <w:rsid w:val="0075797E"/>
    <w:rsid w:val="0077158D"/>
    <w:rsid w:val="007734B8"/>
    <w:rsid w:val="00773AD9"/>
    <w:rsid w:val="00776FB8"/>
    <w:rsid w:val="00783FB4"/>
    <w:rsid w:val="00790891"/>
    <w:rsid w:val="00794ADD"/>
    <w:rsid w:val="007B0179"/>
    <w:rsid w:val="007B49F8"/>
    <w:rsid w:val="007B690F"/>
    <w:rsid w:val="007C1136"/>
    <w:rsid w:val="007C782B"/>
    <w:rsid w:val="007D2E45"/>
    <w:rsid w:val="007D423D"/>
    <w:rsid w:val="007E1D22"/>
    <w:rsid w:val="007F1DB6"/>
    <w:rsid w:val="0080213D"/>
    <w:rsid w:val="0080427B"/>
    <w:rsid w:val="00804FB9"/>
    <w:rsid w:val="00806BE6"/>
    <w:rsid w:val="00806D93"/>
    <w:rsid w:val="00807FA0"/>
    <w:rsid w:val="0081116B"/>
    <w:rsid w:val="00814062"/>
    <w:rsid w:val="0081593D"/>
    <w:rsid w:val="008165DE"/>
    <w:rsid w:val="00820BE0"/>
    <w:rsid w:val="00834A9E"/>
    <w:rsid w:val="00835D87"/>
    <w:rsid w:val="00847D78"/>
    <w:rsid w:val="00847E21"/>
    <w:rsid w:val="00850A39"/>
    <w:rsid w:val="008543B3"/>
    <w:rsid w:val="00855766"/>
    <w:rsid w:val="00855A82"/>
    <w:rsid w:val="00860522"/>
    <w:rsid w:val="00862F90"/>
    <w:rsid w:val="00864560"/>
    <w:rsid w:val="00873575"/>
    <w:rsid w:val="00876704"/>
    <w:rsid w:val="008829C6"/>
    <w:rsid w:val="00882F90"/>
    <w:rsid w:val="008937ED"/>
    <w:rsid w:val="00894676"/>
    <w:rsid w:val="008A1FF7"/>
    <w:rsid w:val="008A4C4C"/>
    <w:rsid w:val="008A5F45"/>
    <w:rsid w:val="008A7968"/>
    <w:rsid w:val="008B0FA9"/>
    <w:rsid w:val="008B1514"/>
    <w:rsid w:val="008C1157"/>
    <w:rsid w:val="008C12BC"/>
    <w:rsid w:val="008C49A2"/>
    <w:rsid w:val="008C7444"/>
    <w:rsid w:val="008D158B"/>
    <w:rsid w:val="008D1B14"/>
    <w:rsid w:val="008D29C4"/>
    <w:rsid w:val="008D5863"/>
    <w:rsid w:val="008E380C"/>
    <w:rsid w:val="008E390C"/>
    <w:rsid w:val="008E6A9D"/>
    <w:rsid w:val="008F29A7"/>
    <w:rsid w:val="008F4976"/>
    <w:rsid w:val="009013FD"/>
    <w:rsid w:val="00904876"/>
    <w:rsid w:val="00904887"/>
    <w:rsid w:val="00910E8B"/>
    <w:rsid w:val="00913814"/>
    <w:rsid w:val="0091615D"/>
    <w:rsid w:val="00920B5C"/>
    <w:rsid w:val="00922B4C"/>
    <w:rsid w:val="009310D5"/>
    <w:rsid w:val="00931BB7"/>
    <w:rsid w:val="009321B0"/>
    <w:rsid w:val="00932C19"/>
    <w:rsid w:val="0093356A"/>
    <w:rsid w:val="009353D8"/>
    <w:rsid w:val="0093730E"/>
    <w:rsid w:val="00942A94"/>
    <w:rsid w:val="009437BB"/>
    <w:rsid w:val="00945602"/>
    <w:rsid w:val="00956476"/>
    <w:rsid w:val="00966A13"/>
    <w:rsid w:val="009708CD"/>
    <w:rsid w:val="00971508"/>
    <w:rsid w:val="0098097A"/>
    <w:rsid w:val="0098203E"/>
    <w:rsid w:val="0099563F"/>
    <w:rsid w:val="009A17B8"/>
    <w:rsid w:val="009B0FD6"/>
    <w:rsid w:val="009B1BC8"/>
    <w:rsid w:val="009B35EF"/>
    <w:rsid w:val="009B69AF"/>
    <w:rsid w:val="009C37A9"/>
    <w:rsid w:val="009C697D"/>
    <w:rsid w:val="009C6F5C"/>
    <w:rsid w:val="009D7D2B"/>
    <w:rsid w:val="009E6A3B"/>
    <w:rsid w:val="009E7DE6"/>
    <w:rsid w:val="009F03C5"/>
    <w:rsid w:val="009F654C"/>
    <w:rsid w:val="00A01ADA"/>
    <w:rsid w:val="00A01EBF"/>
    <w:rsid w:val="00A05D56"/>
    <w:rsid w:val="00A06493"/>
    <w:rsid w:val="00A30FB0"/>
    <w:rsid w:val="00A365AB"/>
    <w:rsid w:val="00A40D4E"/>
    <w:rsid w:val="00A43EBB"/>
    <w:rsid w:val="00A47C82"/>
    <w:rsid w:val="00A54FC3"/>
    <w:rsid w:val="00A66953"/>
    <w:rsid w:val="00A71AF7"/>
    <w:rsid w:val="00A75177"/>
    <w:rsid w:val="00A7563E"/>
    <w:rsid w:val="00A77B9F"/>
    <w:rsid w:val="00A802DE"/>
    <w:rsid w:val="00A81D7E"/>
    <w:rsid w:val="00A826C1"/>
    <w:rsid w:val="00A91224"/>
    <w:rsid w:val="00A95C02"/>
    <w:rsid w:val="00AA7CC3"/>
    <w:rsid w:val="00AA7FCA"/>
    <w:rsid w:val="00AB237D"/>
    <w:rsid w:val="00AB4ECD"/>
    <w:rsid w:val="00AC4BB2"/>
    <w:rsid w:val="00AD397A"/>
    <w:rsid w:val="00AD5F2F"/>
    <w:rsid w:val="00AE5BCE"/>
    <w:rsid w:val="00B01F86"/>
    <w:rsid w:val="00B20F77"/>
    <w:rsid w:val="00B23644"/>
    <w:rsid w:val="00B23C81"/>
    <w:rsid w:val="00B323A4"/>
    <w:rsid w:val="00B50D0D"/>
    <w:rsid w:val="00B54A3C"/>
    <w:rsid w:val="00B579EA"/>
    <w:rsid w:val="00B719DD"/>
    <w:rsid w:val="00B72D2A"/>
    <w:rsid w:val="00B8194D"/>
    <w:rsid w:val="00B843CD"/>
    <w:rsid w:val="00B85B62"/>
    <w:rsid w:val="00B85C47"/>
    <w:rsid w:val="00B86D67"/>
    <w:rsid w:val="00B90256"/>
    <w:rsid w:val="00BA7997"/>
    <w:rsid w:val="00BB056A"/>
    <w:rsid w:val="00BC56AD"/>
    <w:rsid w:val="00BD685E"/>
    <w:rsid w:val="00BE2247"/>
    <w:rsid w:val="00BE2C7A"/>
    <w:rsid w:val="00BE7EDC"/>
    <w:rsid w:val="00C00105"/>
    <w:rsid w:val="00C047AB"/>
    <w:rsid w:val="00C078E1"/>
    <w:rsid w:val="00C21280"/>
    <w:rsid w:val="00C22E89"/>
    <w:rsid w:val="00C24D12"/>
    <w:rsid w:val="00C265A4"/>
    <w:rsid w:val="00C330A5"/>
    <w:rsid w:val="00C357CC"/>
    <w:rsid w:val="00C46CE6"/>
    <w:rsid w:val="00C52578"/>
    <w:rsid w:val="00C53A45"/>
    <w:rsid w:val="00C53A7C"/>
    <w:rsid w:val="00C66A61"/>
    <w:rsid w:val="00C67118"/>
    <w:rsid w:val="00C72CEC"/>
    <w:rsid w:val="00C83BEE"/>
    <w:rsid w:val="00C8547E"/>
    <w:rsid w:val="00C868DB"/>
    <w:rsid w:val="00C908DB"/>
    <w:rsid w:val="00C94540"/>
    <w:rsid w:val="00C9492D"/>
    <w:rsid w:val="00CA0756"/>
    <w:rsid w:val="00CA2C4A"/>
    <w:rsid w:val="00CA651B"/>
    <w:rsid w:val="00CB2DC8"/>
    <w:rsid w:val="00CC0DFB"/>
    <w:rsid w:val="00CC1D70"/>
    <w:rsid w:val="00CC477A"/>
    <w:rsid w:val="00CC747E"/>
    <w:rsid w:val="00CD60C0"/>
    <w:rsid w:val="00CE223C"/>
    <w:rsid w:val="00CE3976"/>
    <w:rsid w:val="00CF1E65"/>
    <w:rsid w:val="00CF1E78"/>
    <w:rsid w:val="00CF70BB"/>
    <w:rsid w:val="00D00F60"/>
    <w:rsid w:val="00D02385"/>
    <w:rsid w:val="00D02765"/>
    <w:rsid w:val="00D04329"/>
    <w:rsid w:val="00D07AD0"/>
    <w:rsid w:val="00D11EB7"/>
    <w:rsid w:val="00D23EB7"/>
    <w:rsid w:val="00D25AAE"/>
    <w:rsid w:val="00D36886"/>
    <w:rsid w:val="00D4218F"/>
    <w:rsid w:val="00D44CB2"/>
    <w:rsid w:val="00D513FE"/>
    <w:rsid w:val="00D53121"/>
    <w:rsid w:val="00D54C02"/>
    <w:rsid w:val="00D634B6"/>
    <w:rsid w:val="00D76195"/>
    <w:rsid w:val="00D765C5"/>
    <w:rsid w:val="00D80902"/>
    <w:rsid w:val="00D81193"/>
    <w:rsid w:val="00D8717F"/>
    <w:rsid w:val="00D95CBC"/>
    <w:rsid w:val="00D97972"/>
    <w:rsid w:val="00D97EE3"/>
    <w:rsid w:val="00DA100B"/>
    <w:rsid w:val="00DA2B89"/>
    <w:rsid w:val="00DB0A38"/>
    <w:rsid w:val="00DB3616"/>
    <w:rsid w:val="00DB5293"/>
    <w:rsid w:val="00DB5A12"/>
    <w:rsid w:val="00DB609A"/>
    <w:rsid w:val="00DC2801"/>
    <w:rsid w:val="00DC32DC"/>
    <w:rsid w:val="00DC7841"/>
    <w:rsid w:val="00DD1C8C"/>
    <w:rsid w:val="00DD421C"/>
    <w:rsid w:val="00DD5003"/>
    <w:rsid w:val="00DF1BDD"/>
    <w:rsid w:val="00E11F38"/>
    <w:rsid w:val="00E17352"/>
    <w:rsid w:val="00E179CB"/>
    <w:rsid w:val="00E24307"/>
    <w:rsid w:val="00E257E9"/>
    <w:rsid w:val="00E333FC"/>
    <w:rsid w:val="00E415F6"/>
    <w:rsid w:val="00E42619"/>
    <w:rsid w:val="00E44613"/>
    <w:rsid w:val="00E44AF8"/>
    <w:rsid w:val="00E44F23"/>
    <w:rsid w:val="00E47D7F"/>
    <w:rsid w:val="00E56064"/>
    <w:rsid w:val="00E5653B"/>
    <w:rsid w:val="00E61695"/>
    <w:rsid w:val="00E62B3C"/>
    <w:rsid w:val="00E6462B"/>
    <w:rsid w:val="00E6602D"/>
    <w:rsid w:val="00E67637"/>
    <w:rsid w:val="00E67F5F"/>
    <w:rsid w:val="00E7467E"/>
    <w:rsid w:val="00E76691"/>
    <w:rsid w:val="00E81F93"/>
    <w:rsid w:val="00E83E82"/>
    <w:rsid w:val="00E85DE5"/>
    <w:rsid w:val="00E8631D"/>
    <w:rsid w:val="00E8648A"/>
    <w:rsid w:val="00E875DB"/>
    <w:rsid w:val="00E926D1"/>
    <w:rsid w:val="00EB6DFF"/>
    <w:rsid w:val="00EC1680"/>
    <w:rsid w:val="00ED0E11"/>
    <w:rsid w:val="00ED7860"/>
    <w:rsid w:val="00EE09C9"/>
    <w:rsid w:val="00EE249E"/>
    <w:rsid w:val="00EF4818"/>
    <w:rsid w:val="00EF57F1"/>
    <w:rsid w:val="00F0698B"/>
    <w:rsid w:val="00F14188"/>
    <w:rsid w:val="00F17AF7"/>
    <w:rsid w:val="00F229A6"/>
    <w:rsid w:val="00F249DA"/>
    <w:rsid w:val="00F33B1C"/>
    <w:rsid w:val="00F35BC2"/>
    <w:rsid w:val="00F41F62"/>
    <w:rsid w:val="00F42A9F"/>
    <w:rsid w:val="00F44B8A"/>
    <w:rsid w:val="00F46CD1"/>
    <w:rsid w:val="00F64264"/>
    <w:rsid w:val="00F66B3B"/>
    <w:rsid w:val="00F66CE5"/>
    <w:rsid w:val="00F70E38"/>
    <w:rsid w:val="00F74DD6"/>
    <w:rsid w:val="00F77FFC"/>
    <w:rsid w:val="00F81ACB"/>
    <w:rsid w:val="00F869E7"/>
    <w:rsid w:val="00F873B6"/>
    <w:rsid w:val="00F94563"/>
    <w:rsid w:val="00F95BF4"/>
    <w:rsid w:val="00FA46EC"/>
    <w:rsid w:val="00FA7C5C"/>
    <w:rsid w:val="00FB03A0"/>
    <w:rsid w:val="00FB1347"/>
    <w:rsid w:val="00FB57F0"/>
    <w:rsid w:val="00FC4A42"/>
    <w:rsid w:val="00FC55D5"/>
    <w:rsid w:val="00FC6E78"/>
    <w:rsid w:val="00FC79D7"/>
    <w:rsid w:val="00FD1C6E"/>
    <w:rsid w:val="00FD5882"/>
    <w:rsid w:val="00FD6F6C"/>
    <w:rsid w:val="00FD795C"/>
    <w:rsid w:val="00FE3AF0"/>
    <w:rsid w:val="00FF10DF"/>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6483"/>
  <w15:docId w15:val="{1CEB22CB-E6CA-4F9D-88CA-F9E51CE3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paragraph" w:styleId="Title">
    <w:name w:val="Title"/>
    <w:basedOn w:val="Normal"/>
    <w:next w:val="Normal"/>
    <w:link w:val="TitleChar"/>
    <w:uiPriority w:val="10"/>
    <w:qFormat/>
    <w:rsid w:val="00C3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57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938133">
      <w:bodyDiv w:val="1"/>
      <w:marLeft w:val="0"/>
      <w:marRight w:val="0"/>
      <w:marTop w:val="0"/>
      <w:marBottom w:val="0"/>
      <w:divBdr>
        <w:top w:val="none" w:sz="0" w:space="0" w:color="auto"/>
        <w:left w:val="none" w:sz="0" w:space="0" w:color="auto"/>
        <w:bottom w:val="none" w:sz="0" w:space="0" w:color="auto"/>
        <w:right w:val="none" w:sz="0" w:space="0" w:color="auto"/>
      </w:divBdr>
    </w:div>
    <w:div w:id="445927608">
      <w:bodyDiv w:val="1"/>
      <w:marLeft w:val="0"/>
      <w:marRight w:val="0"/>
      <w:marTop w:val="0"/>
      <w:marBottom w:val="0"/>
      <w:divBdr>
        <w:top w:val="none" w:sz="0" w:space="0" w:color="auto"/>
        <w:left w:val="none" w:sz="0" w:space="0" w:color="auto"/>
        <w:bottom w:val="none" w:sz="0" w:space="0" w:color="auto"/>
        <w:right w:val="none" w:sz="0" w:space="0" w:color="auto"/>
      </w:divBdr>
    </w:div>
    <w:div w:id="544560427">
      <w:bodyDiv w:val="1"/>
      <w:marLeft w:val="0"/>
      <w:marRight w:val="0"/>
      <w:marTop w:val="0"/>
      <w:marBottom w:val="0"/>
      <w:divBdr>
        <w:top w:val="none" w:sz="0" w:space="0" w:color="auto"/>
        <w:left w:val="none" w:sz="0" w:space="0" w:color="auto"/>
        <w:bottom w:val="none" w:sz="0" w:space="0" w:color="auto"/>
        <w:right w:val="none" w:sz="0" w:space="0" w:color="auto"/>
      </w:divBdr>
    </w:div>
    <w:div w:id="618924555">
      <w:bodyDiv w:val="1"/>
      <w:marLeft w:val="0"/>
      <w:marRight w:val="0"/>
      <w:marTop w:val="0"/>
      <w:marBottom w:val="0"/>
      <w:divBdr>
        <w:top w:val="none" w:sz="0" w:space="0" w:color="auto"/>
        <w:left w:val="none" w:sz="0" w:space="0" w:color="auto"/>
        <w:bottom w:val="none" w:sz="0" w:space="0" w:color="auto"/>
        <w:right w:val="none" w:sz="0" w:space="0" w:color="auto"/>
      </w:divBdr>
    </w:div>
    <w:div w:id="693925865">
      <w:bodyDiv w:val="1"/>
      <w:marLeft w:val="0"/>
      <w:marRight w:val="0"/>
      <w:marTop w:val="0"/>
      <w:marBottom w:val="0"/>
      <w:divBdr>
        <w:top w:val="none" w:sz="0" w:space="0" w:color="auto"/>
        <w:left w:val="none" w:sz="0" w:space="0" w:color="auto"/>
        <w:bottom w:val="none" w:sz="0" w:space="0" w:color="auto"/>
        <w:right w:val="none" w:sz="0" w:space="0" w:color="auto"/>
      </w:divBdr>
    </w:div>
    <w:div w:id="1904172122">
      <w:bodyDiv w:val="1"/>
      <w:marLeft w:val="0"/>
      <w:marRight w:val="0"/>
      <w:marTop w:val="0"/>
      <w:marBottom w:val="0"/>
      <w:divBdr>
        <w:top w:val="none" w:sz="0" w:space="0" w:color="auto"/>
        <w:left w:val="none" w:sz="0" w:space="0" w:color="auto"/>
        <w:bottom w:val="none" w:sz="0" w:space="0" w:color="auto"/>
        <w:right w:val="none" w:sz="0" w:space="0" w:color="auto"/>
      </w:divBdr>
    </w:div>
    <w:div w:id="19651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7" Type="http://schemas.openxmlformats.org/officeDocument/2006/relationships/oleObject" Target="embeddings/oleObject2.bin"/><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png"/><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png"/><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10237</TotalTime>
  <Pages>9</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276</cp:revision>
  <dcterms:created xsi:type="dcterms:W3CDTF">2016-01-05T21:04:00Z</dcterms:created>
  <dcterms:modified xsi:type="dcterms:W3CDTF">2025-01-31T20:24:00Z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